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r>
    </w:p>
    <w:p>
      <w:pPr>
        <w:jc w:val="center"/>
      </w:pPr>
      <w:r>
        <w:rPr>
          <w:b/>
          <w:sz w:val="44"/>
        </w:rPr>
        <w:t>Email_Contents_to_PDF</w:t>
      </w:r>
    </w:p>
    <w:p>
      <w:r>
        <w:br/>
      </w:r>
    </w:p>
    <w:tbl>
      <w:tblPr>
        <w:tblStyle w:val="TableGrid"/>
        <w:tblW w:type="auto" w:w="0"/>
        <w:tblLook w:firstColumn="1" w:firstRow="1" w:lastColumn="0" w:lastRow="0" w:noHBand="0" w:noVBand="1" w:val="04A0"/>
      </w:tblPr>
      <w:tblGrid>
        <w:gridCol w:w="4320"/>
        <w:gridCol w:w="4320"/>
      </w:tblGrid>
      <w:tr>
        <w:tc>
          <w:tcPr>
            <w:tcW w:type="dxa" w:w="4320"/>
          </w:tcPr>
          <w:p>
            <w:r>
              <w:t>Author</w:t>
            </w:r>
          </w:p>
        </w:tc>
        <w:tc>
          <w:tcPr>
            <w:tcW w:type="dxa" w:w="4320"/>
          </w:tcPr>
          <w:p>
            <w:r/>
          </w:p>
        </w:tc>
      </w:tr>
      <w:tr>
        <w:tc>
          <w:tcPr>
            <w:tcW w:type="dxa" w:w="4320"/>
          </w:tcPr>
          <w:p>
            <w:r>
              <w:t>Date</w:t>
            </w:r>
          </w:p>
        </w:tc>
        <w:tc>
          <w:tcPr>
            <w:tcW w:type="dxa" w:w="4320"/>
          </w:tcPr>
          <w:p>
            <w:r>
              <w:t>2025-12-23</w:t>
            </w:r>
          </w:p>
        </w:tc>
      </w:tr>
      <w:tr>
        <w:tc>
          <w:tcPr>
            <w:tcW w:type="dxa" w:w="4320"/>
          </w:tcPr>
          <w:p>
            <w:r>
              <w:t>Version</w:t>
            </w:r>
          </w:p>
        </w:tc>
        <w:tc>
          <w:tcPr>
            <w:tcW w:type="dxa" w:w="4320"/>
          </w:tcPr>
          <w:p>
            <w:r>
              <w:t>Draft</w:t>
            </w:r>
          </w:p>
        </w:tc>
      </w:tr>
    </w:tbl>
    <w:p>
      <w:r>
        <w:br w:type="page"/>
      </w:r>
    </w:p>
    <w:p>
      <w:r>
        <w:rPr>
          <w:b/>
        </w:rPr>
        <w:t>Table of Contents</w:t>
      </w:r>
    </w:p>
    <w:p>
      <w:r>
        <w:t>1. Introduction</w:t>
      </w:r>
    </w:p>
    <w:p>
      <w:r>
        <w:t xml:space="preserve">    1.1 Purpose</w:t>
      </w:r>
    </w:p>
    <w:p>
      <w:r>
        <w:t xml:space="preserve">    1.2 Scope</w:t>
      </w:r>
    </w:p>
    <w:p>
      <w:r>
        <w:t>2. Integration Overview</w:t>
      </w:r>
    </w:p>
    <w:p>
      <w:r>
        <w:t xml:space="preserve">    2.1 Integration Architecture</w:t>
      </w:r>
    </w:p>
    <w:p>
      <w:r>
        <w:t xml:space="preserve">    2.2 Integration Components</w:t>
      </w:r>
    </w:p>
    <w:p>
      <w:r>
        <w:t>3. Integration Scenarios</w:t>
      </w:r>
    </w:p>
    <w:p>
      <w:r>
        <w:t xml:space="preserve">    3.1 Scenario Description</w:t>
      </w:r>
    </w:p>
    <w:p>
      <w:r>
        <w:t xml:space="preserve">    3.2 Data Flows</w:t>
      </w:r>
    </w:p>
    <w:p>
      <w:r>
        <w:t xml:space="preserve">    3.3 Security Requirements</w:t>
      </w:r>
    </w:p>
    <w:p>
      <w:r>
        <w:t>4. Error Handling and Logging</w:t>
      </w:r>
    </w:p>
    <w:p>
      <w:r>
        <w:t>5. Testing Validation</w:t>
      </w:r>
    </w:p>
    <w:p>
      <w:r>
        <w:t>6. Reference Documents</w:t>
      </w:r>
    </w:p>
    <w:p>
      <w:r>
        <w:br w:type="page"/>
      </w:r>
    </w:p>
    <w:p>
      <w:r>
        <w:rPr>
          <w:b/>
        </w:rPr>
        <w:t>1. Introduction</w:t>
      </w:r>
    </w:p>
    <w:p>
      <w:r>
        <w:rPr>
          <w:b/>
        </w:rPr>
        <w:t>1.1 Purpose</w:t>
      </w:r>
    </w:p>
    <w:p>
      <w:r>
        <w:t>The purpose of this documentation is to provide a detailed description of the Email_Contents_to_PDF iFlow, which is designed to integrate email contents with a PDF file.</w:t>
      </w:r>
    </w:p>
    <w:p/>
    <w:p>
      <w:r>
        <w:rPr>
          <w:b/>
        </w:rPr>
        <w:t>1.2 Scope</w:t>
      </w:r>
    </w:p>
    <w:p>
      <w:r>
        <w:t>The scope of this documentation includes the integration architecture, components, scenarios, error handling, and logging mechanisms of the Email_Contents_to_PDF iFlow.</w:t>
      </w:r>
    </w:p>
    <w:p/>
    <w:p>
      <w:r>
        <w:rPr>
          <w:b/>
        </w:rPr>
        <w:t>2. Integration Overview</w:t>
      </w:r>
    </w:p>
    <w:p>
      <w:r>
        <w:rPr>
          <w:b/>
        </w:rPr>
        <w:t>2.1 Integration Architecture</w:t>
      </w:r>
    </w:p>
    <w:p>
      <w:r>
        <w:t>The Email_Contents_to_PDF iFlow uses a collaboration process that involves a sender participant, a receiver participant, and an integration process participant. The sender participant sends an email to the integration process, which then processes the email content and sends it to the receiver participant as a PDF file.</w:t>
      </w:r>
    </w:p>
    <w:p/>
    <w:p>
      <w:r>
        <w:rPr>
          <w:b/>
        </w:rPr>
        <w:t>2.2 Integration Components</w:t>
      </w:r>
    </w:p>
    <w:p>
      <w:r>
        <w:t>The Email_Contents_to_PDF iFlow consists of several components, including:</w:t>
      </w:r>
    </w:p>
    <w:p>
      <w:r>
        <w:t>- Sender participant</w:t>
      </w:r>
    </w:p>
    <w:p>
      <w:r>
        <w:t>- Receiver participant</w:t>
      </w:r>
    </w:p>
    <w:p>
      <w:r>
        <w:t>- Integration process participant</w:t>
      </w:r>
    </w:p>
    <w:p>
      <w:r>
        <w:t>- Groovy script 1</w:t>
      </w:r>
    </w:p>
    <w:p>
      <w:r>
        <w:t>- Content modifier 1</w:t>
      </w:r>
    </w:p>
    <w:p>
      <w:r>
        <w:t>- Start event</w:t>
      </w:r>
    </w:p>
    <w:p>
      <w:r>
        <w:t>- End event</w:t>
      </w:r>
    </w:p>
    <w:p/>
    <w:p>
      <w:r>
        <w:rPr>
          <w:b/>
        </w:rPr>
        <w:t>3. Integration Scenarios</w:t>
      </w:r>
    </w:p>
    <w:p>
      <w:r>
        <w:rPr>
          <w:b/>
        </w:rPr>
        <w:t>3.1 Scenario Description</w:t>
      </w:r>
    </w:p>
    <w:p>
      <w:r>
        <w:t>The Email_Contents_to_PDF iFlow is triggered when an email is sent to the sender participant. The email content is then processed by the integration process participant using a groovy script and a content modifier. The processed content is then sent to the receiver participant as a PDF file.</w:t>
      </w:r>
    </w:p>
    <w:p/>
    <w:p>
      <w:r>
        <w:rPr>
          <w:b/>
        </w:rPr>
        <w:t>3.2 Data Flows</w:t>
      </w:r>
    </w:p>
    <w:p>
      <w:r>
        <w:t>The data flows in the Email_Contents_to_PDF iFlow are as follows:</w:t>
      </w:r>
    </w:p>
    <w:p>
      <w:r>
        <w:t>- Email content is sent from the sender participant to the integration process participant.</w:t>
      </w:r>
    </w:p>
    <w:p>
      <w:r>
        <w:t>- The integration process participant processes the email content using a groovy script and a content modifier.</w:t>
      </w:r>
    </w:p>
    <w:p>
      <w:r>
        <w:t>- The processed content is then sent to the receiver participant as a PDF file.</w:t>
      </w:r>
    </w:p>
    <w:p/>
    <w:p>
      <w:r>
        <w:rPr>
          <w:b/>
        </w:rPr>
        <w:t>3.3 Security Requirements</w:t>
      </w:r>
    </w:p>
    <w:p>
      <w:r>
        <w:t>The security requirements for the Email_Contents_to_PDF iFlow include:</w:t>
      </w:r>
    </w:p>
    <w:p>
      <w:r>
        <w:t>- Authentication: The sender participant and the receiver participant must be authenticated before sending or receiving emails.</w:t>
      </w:r>
    </w:p>
    <w:p>
      <w:r>
        <w:t>- Authorization: The integration process participant must have the necessary authorization to access the email content and process it.</w:t>
      </w:r>
    </w:p>
    <w:p/>
    <w:p>
      <w:r>
        <w:rPr>
          <w:b/>
        </w:rPr>
        <w:t>4. Error Handling and Logging</w:t>
      </w:r>
    </w:p>
    <w:p>
      <w:r>
        <w:t>Error handling and logging mechanisms are implemented in the Email_Contents_to_PDF iFlow to handle any errors that may occur during the integration process. The error handling mechanisms include:</w:t>
      </w:r>
    </w:p>
    <w:p>
      <w:r>
        <w:t>- Error messages are logged and sent to the receiver participant.</w:t>
      </w:r>
    </w:p>
    <w:p>
      <w:r>
        <w:t>- The integration process participant is designed to handle errors and exceptions.</w:t>
      </w:r>
    </w:p>
    <w:p/>
    <w:p>
      <w:r>
        <w:rPr>
          <w:b/>
        </w:rPr>
        <w:t>5. Testing Validation</w:t>
      </w:r>
    </w:p>
    <w:p>
      <w:r>
        <w:t>The Email_Contents_to_PDF iFlow has been tested and validated to ensure that it works as expected. The testing includes:</w:t>
      </w:r>
    </w:p>
    <w:p>
      <w:r>
        <w:t>- Unit testing: Each component of the iFlow is tested individually to ensure that it works correctly.</w:t>
      </w:r>
    </w:p>
    <w:p>
      <w:r>
        <w:t>- Integration testing: The entire iFlow is tested to ensure that all the components work together correctly.</w:t>
      </w:r>
    </w:p>
    <w:p/>
    <w:p>
      <w:r>
        <w:rPr>
          <w:b/>
        </w:rPr>
        <w:t>6. Reference Documents</w:t>
      </w:r>
    </w:p>
    <w:p>
      <w:r>
        <w:t>The reference documents for the Email_Contents_to_PDF iFlow include:</w:t>
      </w:r>
    </w:p>
    <w:p>
      <w:r>
        <w:t>- iFlow design document</w:t>
      </w:r>
    </w:p>
    <w:p>
      <w:r>
        <w:t>- Integration architecture document</w:t>
      </w:r>
    </w:p>
    <w:p>
      <w:r>
        <w:t>- Component documentation</w:t>
      </w:r>
    </w:p>
    <w:p>
      <w:r>
        <w:t>- Error handling and logging documentation</w:t>
      </w:r>
    </w:p>
    <w:p>
      <w:r>
        <w:t>- Testing and validation documentation</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p>
    <w:pPr>
      <w:jc w:val="left"/>
    </w:pPr>
    <w:r>
      <w:drawing>
        <wp:inline xmlns:a="http://schemas.openxmlformats.org/drawingml/2006/main" xmlns:pic="http://schemas.openxmlformats.org/drawingml/2006/picture">
          <wp:extent cx="1005840" cy="1005840"/>
          <wp:docPr id="1" name="Picture 1"/>
          <wp:cNvGraphicFramePr>
            <a:graphicFrameLocks noChangeAspect="1"/>
          </wp:cNvGraphicFramePr>
          <a:graphic>
            <a:graphicData uri="http://schemas.openxmlformats.org/drawingml/2006/picture">
              <pic:pic>
                <pic:nvPicPr>
                  <pic:cNvPr id="0" name="SAP.jpg"/>
                  <pic:cNvPicPr/>
                </pic:nvPicPr>
                <pic:blipFill>
                  <a:blip r:embed="rId1"/>
                  <a:stretch>
                    <a:fillRect/>
                  </a:stretch>
                </pic:blipFill>
                <pic:spPr>
                  <a:xfrm>
                    <a:off x="0" y="0"/>
                    <a:ext cx="1005840" cy="1005840"/>
                  </a:xfrm>
                  <a:prstGeom prst="rect"/>
                </pic:spPr>
              </pic:pic>
            </a:graphicData>
          </a:graphic>
        </wp:inline>
      </w:drawing>
    </w:r>
  </w:p>
  <w:p>
    <w:pPr>
      <w:jc w:val="right"/>
    </w:pPr>
    <w:r>
      <w:drawing>
        <wp:inline xmlns:a="http://schemas.openxmlformats.org/drawingml/2006/main" xmlns:pic="http://schemas.openxmlformats.org/drawingml/2006/picture">
          <wp:extent cx="1005840" cy="1005840"/>
          <wp:docPr id="2" name="Picture 2"/>
          <wp:cNvGraphicFramePr>
            <a:graphicFrameLocks noChangeAspect="1"/>
          </wp:cNvGraphicFramePr>
          <a:graphic>
            <a:graphicData uri="http://schemas.openxmlformats.org/drawingml/2006/picture">
              <pic:pic>
                <pic:nvPicPr>
                  <pic:cNvPr id="0" name="mm_logo.png"/>
                  <pic:cNvPicPr/>
                </pic:nvPicPr>
                <pic:blipFill>
                  <a:blip r:embed="rId2"/>
                  <a:stretch>
                    <a:fillRect/>
                  </a:stretch>
                </pic:blipFill>
                <pic:spPr>
                  <a:xfrm>
                    <a:off x="0" y="0"/>
                    <a:ext cx="1005840" cy="100584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