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br/>
        <w:br/>
      </w:r>
    </w:p>
    <w:p>
      <w:pPr>
        <w:jc w:val="center"/>
      </w:pPr>
      <w:r>
        <w:rPr>
          <w:b/>
          <w:sz w:val="44"/>
        </w:rPr>
        <w:t>Odata_Mass_PDF_upload</w:t>
      </w:r>
    </w:p>
    <w:p>
      <w:r>
        <w:br/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Author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Date</w:t>
            </w:r>
          </w:p>
        </w:tc>
        <w:tc>
          <w:tcPr>
            <w:tcW w:type="dxa" w:w="4320"/>
          </w:tcPr>
          <w:p>
            <w:r>
              <w:t>2025-12-23</w:t>
            </w:r>
          </w:p>
        </w:tc>
      </w:tr>
      <w:tr>
        <w:tc>
          <w:tcPr>
            <w:tcW w:type="dxa" w:w="4320"/>
          </w:tcPr>
          <w:p>
            <w:r>
              <w:t>Version</w:t>
            </w:r>
          </w:p>
        </w:tc>
        <w:tc>
          <w:tcPr>
            <w:tcW w:type="dxa" w:w="4320"/>
          </w:tcPr>
          <w:p>
            <w:r>
              <w:t>Draft</w:t>
            </w:r>
          </w:p>
        </w:tc>
      </w:tr>
    </w:tbl>
    <w:p>
      <w:r>
        <w:br w:type="page"/>
      </w:r>
    </w:p>
    <w:p>
      <w:r>
        <w:rPr>
          <w:b/>
        </w:rPr>
        <w:t>Table of Contents</w:t>
      </w:r>
    </w:p>
    <w:p>
      <w:r>
        <w:t>1. Introduction</w:t>
      </w:r>
    </w:p>
    <w:p>
      <w:r>
        <w:t xml:space="preserve">    1.1 Purpose</w:t>
      </w:r>
    </w:p>
    <w:p>
      <w:r>
        <w:t xml:space="preserve">    1.2 Scope</w:t>
      </w:r>
    </w:p>
    <w:p>
      <w:r>
        <w:t>2. Integration Overview</w:t>
      </w:r>
    </w:p>
    <w:p>
      <w:r>
        <w:t xml:space="preserve">    2.1 Integration Architecture</w:t>
      </w:r>
    </w:p>
    <w:p>
      <w:r>
        <w:t xml:space="preserve">    2.2 Integration Components</w:t>
      </w:r>
    </w:p>
    <w:p>
      <w:r>
        <w:t>3. Integration Scenarios</w:t>
      </w:r>
    </w:p>
    <w:p>
      <w:r>
        <w:t xml:space="preserve">    3.1 Scenario Description</w:t>
      </w:r>
    </w:p>
    <w:p>
      <w:r>
        <w:t xml:space="preserve">    3.2 Data Flows</w:t>
      </w:r>
    </w:p>
    <w:p>
      <w:r>
        <w:t xml:space="preserve">    3.3 Security Requirements</w:t>
      </w:r>
    </w:p>
    <w:p>
      <w:r>
        <w:t>4. Error Handling and Logging</w:t>
      </w:r>
    </w:p>
    <w:p>
      <w:r>
        <w:t>5. Testing Validation</w:t>
      </w:r>
    </w:p>
    <w:p>
      <w:r>
        <w:t>6. Reference Documents</w:t>
      </w:r>
    </w:p>
    <w:p>
      <w:r>
        <w:br w:type="page"/>
      </w:r>
    </w:p>
    <w:p>
      <w:r>
        <w:rPr>
          <w:b/>
        </w:rPr>
        <w:t>1. Introduction</w:t>
      </w:r>
    </w:p>
    <w:p>
      <w:r>
        <w:t xml:space="preserve">The Odata_Mass_PDF_upload iFlow is designed to facilitate the mass upload of PDF files using the OData protocol. </w:t>
      </w:r>
    </w:p>
    <w:p>
      <w:r>
        <w:rPr>
          <w:b/>
        </w:rPr>
        <w:t xml:space="preserve">1.1 Purpose </w:t>
      </w:r>
    </w:p>
    <w:p>
      <w:r>
        <w:t xml:space="preserve">The purpose of this iFlow is to provide a seamless integration mechanism for uploading PDF files in bulk, ensuring efficient data transfer and processing. </w:t>
      </w:r>
    </w:p>
    <w:p>
      <w:r>
        <w:rPr>
          <w:b/>
        </w:rPr>
        <w:t xml:space="preserve">1.2 Scope </w:t>
      </w:r>
    </w:p>
    <w:p>
      <w:r>
        <w:t>The scope of this iFlow includes the design, configuration, and testing of the integration flow, including error handling and logging mechanisms.</w:t>
      </w:r>
    </w:p>
    <w:p/>
    <w:p>
      <w:r>
        <w:rPr>
          <w:b/>
        </w:rPr>
        <w:t>2. Integration Overview</w:t>
      </w:r>
    </w:p>
    <w:p>
      <w:r>
        <w:t xml:space="preserve">The Odata_Mass_PDF_upload iFlow utilizes the SAP Cloud Platform Integration tool to enable the mass upload of PDF files. </w:t>
      </w:r>
    </w:p>
    <w:p>
      <w:r>
        <w:rPr>
          <w:b/>
        </w:rPr>
        <w:t xml:space="preserve">2.1 Integration Architecture </w:t>
      </w:r>
    </w:p>
    <w:p>
      <w:r>
        <w:t xml:space="preserve">The integration architecture consists of a sender, receiver, and integration process, which work together to facilitate the data transfer. </w:t>
      </w:r>
    </w:p>
    <w:p>
      <w:r>
        <w:rPr>
          <w:b/>
        </w:rPr>
        <w:t xml:space="preserve">2.2 Integration Components </w:t>
      </w:r>
    </w:p>
    <w:p>
      <w:r>
        <w:t>The integration components include the sender, receiver, and integration process, each configured with specific properties and variants to ensure seamless data transfer.</w:t>
      </w:r>
    </w:p>
    <w:p/>
    <w:p>
      <w:r>
        <w:rPr>
          <w:b/>
        </w:rPr>
        <w:t>3. Integration Scenarios</w:t>
      </w:r>
    </w:p>
    <w:p>
      <w:r>
        <w:t xml:space="preserve">The Odata_Mass_PDF_upload iFlow supports a single integration scenario for mass uploading PDF files. </w:t>
      </w:r>
    </w:p>
    <w:p>
      <w:r>
        <w:rPr>
          <w:b/>
        </w:rPr>
        <w:t xml:space="preserve">3.1 Scenario Description </w:t>
      </w:r>
    </w:p>
    <w:p>
      <w:r>
        <w:t xml:space="preserve">In this scenario, the sender initiates the data transfer by sending a request to the integration process, which then processes the request and sends the data to the receiver. </w:t>
      </w:r>
    </w:p>
    <w:p>
      <w:r>
        <w:rPr>
          <w:b/>
        </w:rPr>
        <w:t xml:space="preserve">3.2 Data Flows </w:t>
      </w:r>
    </w:p>
    <w:p>
      <w:r>
        <w:t xml:space="preserve">The data flows from the sender to the receiver through the integration process, with the integration process handling any necessary data transformations or mappings. </w:t>
      </w:r>
    </w:p>
    <w:p>
      <w:r>
        <w:rPr>
          <w:b/>
        </w:rPr>
        <w:t xml:space="preserve">3.3 Security Requirements </w:t>
      </w:r>
    </w:p>
    <w:p>
      <w:r>
        <w:t>The security requirements for this iFlow include authentication and authorization mechanisms to ensure that only authorized users can initiate the data transfer.</w:t>
      </w:r>
    </w:p>
    <w:p/>
    <w:p>
      <w:r>
        <w:rPr>
          <w:b/>
        </w:rPr>
        <w:t>4. Error Handling and Logging</w:t>
      </w:r>
    </w:p>
    <w:p>
      <w:r>
        <w:t xml:space="preserve">The Odata_Mass_PDF_upload iFlow includes error handling and logging mechanisms to ensure that any errors or exceptions are properly handled and logged. </w:t>
      </w:r>
    </w:p>
    <w:p>
      <w:r>
        <w:t>The error handling mechanisms include the ability to return exceptions to the sender, and the logging mechanisms include the ability to log errors and exceptions at different levels.</w:t>
      </w:r>
    </w:p>
    <w:p/>
    <w:p>
      <w:r>
        <w:rPr>
          <w:b/>
        </w:rPr>
        <w:t>5. Testing Validation</w:t>
      </w:r>
    </w:p>
    <w:p>
      <w:r>
        <w:t xml:space="preserve">The Odata_Mass_PDF_upload iFlow has been tested and validated to ensure that it functions as expected. </w:t>
      </w:r>
    </w:p>
    <w:p>
      <w:r>
        <w:t>The testing included verifying that the iFlow can successfully upload PDF files in bulk, and that any errors or exceptions are properly handled and logged.</w:t>
      </w:r>
    </w:p>
    <w:p/>
    <w:p>
      <w:r>
        <w:rPr>
          <w:b/>
        </w:rPr>
        <w:t>6. Reference Documents</w:t>
      </w:r>
    </w:p>
    <w:p>
      <w:r>
        <w:t xml:space="preserve">The reference documents for the Odata_Mass_PDF_upload iFlow include the iFlow configuration, the integration architecture, and the testing and validation results. </w:t>
      </w:r>
    </w:p>
    <w:p>
      <w:r>
        <w:t>These documents provide a detailed overview of the iFlow, including its design, configuration, and testing, and can be used as a reference for future maintenance or enhancements.</w:t>
      </w:r>
    </w:p>
    <w:sectPr w:rsidR="00FC693F" w:rsidRPr="0006063C" w:rsidSect="00034616">
      <w:head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p>
    <w:pPr>
      <w:jc w:val="left"/>
    </w:pPr>
    <w:r>
      <w:drawing>
        <wp:inline xmlns:a="http://schemas.openxmlformats.org/drawingml/2006/main" xmlns:pic="http://schemas.openxmlformats.org/drawingml/2006/picture">
          <wp:extent cx="1005840" cy="100584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SAP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005840" cy="1005840"/>
                  </a:xfrm>
                  <a:prstGeom prst="rect"/>
                </pic:spPr>
              </pic:pic>
            </a:graphicData>
          </a:graphic>
        </wp:inline>
      </w:drawing>
    </w:r>
  </w:p>
  <w:p>
    <w:pPr>
      <w:jc w:val="right"/>
    </w:pPr>
    <w:r>
      <w:drawing>
        <wp:inline xmlns:a="http://schemas.openxmlformats.org/drawingml/2006/main" xmlns:pic="http://schemas.openxmlformats.org/drawingml/2006/picture">
          <wp:extent cx="1005840" cy="1005840"/>
          <wp:docPr id="2" name="Picture 2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mm_logo.png"/>
                  <pic:cNvPicPr/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1005840" cy="100584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