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4"/>
        </w:rPr>
        <w:t>Practice</w:t>
      </w:r>
    </w:p>
    <w:p>
      <w:r>
        <w:br/>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p>
        </w:tc>
      </w:tr>
      <w:tr>
        <w:tc>
          <w:tcPr>
            <w:tcW w:type="dxa" w:w="4320"/>
          </w:tcPr>
          <w:p>
            <w:r>
              <w:t>Date</w:t>
            </w:r>
          </w:p>
        </w:tc>
        <w:tc>
          <w:tcPr>
            <w:tcW w:type="dxa" w:w="4320"/>
          </w:tcPr>
          <w:p>
            <w:r>
              <w:t>2025-12-23</w:t>
            </w:r>
          </w:p>
        </w:tc>
      </w:tr>
      <w:tr>
        <w:tc>
          <w:tcPr>
            <w:tcW w:type="dxa" w:w="4320"/>
          </w:tcPr>
          <w:p>
            <w:r>
              <w:t>Version</w:t>
            </w:r>
          </w:p>
        </w:tc>
        <w:tc>
          <w:tcPr>
            <w:tcW w:type="dxa" w:w="4320"/>
          </w:tcPr>
          <w:p>
            <w:r>
              <w:t>Draft</w:t>
            </w:r>
          </w:p>
        </w:tc>
      </w:tr>
    </w:tbl>
    <w:p>
      <w:r>
        <w:br w:type="page"/>
      </w:r>
    </w:p>
    <w:p>
      <w:r>
        <w:rPr>
          <w:b/>
        </w:rPr>
        <w:t>Table of Contents</w:t>
      </w:r>
    </w:p>
    <w:p>
      <w:r>
        <w:t>1. Introduction</w:t>
      </w:r>
    </w:p>
    <w:p>
      <w:r>
        <w:t xml:space="preserve">    1.1 Purpose</w:t>
      </w:r>
    </w:p>
    <w:p>
      <w:r>
        <w:t xml:space="preserve">    1.2 Scope</w:t>
      </w:r>
    </w:p>
    <w:p>
      <w:r>
        <w:t>2. Integration Overview</w:t>
      </w:r>
    </w:p>
    <w:p>
      <w:r>
        <w:t xml:space="preserve">    2.1 Integration Architecture</w:t>
      </w:r>
    </w:p>
    <w:p>
      <w:r>
        <w:t xml:space="preserve">    2.2 Integration Components</w:t>
      </w:r>
    </w:p>
    <w:p>
      <w:r>
        <w:t>3. Integration Scenarios</w:t>
      </w:r>
    </w:p>
    <w:p>
      <w:r>
        <w:t xml:space="preserve">    3.1 Scenario Description</w:t>
      </w:r>
    </w:p>
    <w:p>
      <w:r>
        <w:t xml:space="preserve">    3.2 Data Flows</w:t>
      </w:r>
    </w:p>
    <w:p>
      <w:r>
        <w:t xml:space="preserve">    3.3 Security Requirements</w:t>
      </w:r>
    </w:p>
    <w:p>
      <w:r>
        <w:t>4. Error Handling and Logging</w:t>
      </w:r>
    </w:p>
    <w:p>
      <w:r>
        <w:t>5. Testing Validation</w:t>
      </w:r>
    </w:p>
    <w:p>
      <w:r>
        <w:t>6. Reference Documents</w:t>
      </w:r>
    </w:p>
    <w:p>
      <w:r>
        <w:br w:type="page"/>
      </w:r>
    </w:p>
    <w:p>
      <w:r>
        <w:rPr>
          <w:b/>
        </w:rPr>
        <w:t>1. Introduction</w:t>
      </w:r>
    </w:p>
    <w:p>
      <w:r>
        <w:rPr>
          <w:b/>
        </w:rPr>
        <w:t>1.1 Purpose</w:t>
      </w:r>
    </w:p>
    <w:p>
      <w:r>
        <w:t>The purpose of this document is to provide a detailed description of the Practice iFlow, including its architecture, components, and configuration.</w:t>
      </w:r>
    </w:p>
    <w:p>
      <w:r>
        <w:rPr>
          <w:b/>
        </w:rPr>
        <w:t>1.2 Scope</w:t>
      </w:r>
    </w:p>
    <w:p>
      <w:r>
        <w:t>The scope of this document is limited to the Practice iFlow, which is a specific integration flow designed to demonstrate the capabilities of SAP Cloud Platform Integration.</w:t>
      </w:r>
    </w:p>
    <w:p/>
    <w:p>
      <w:r>
        <w:rPr>
          <w:b/>
        </w:rPr>
        <w:t>2. Integration Overview</w:t>
      </w:r>
    </w:p>
    <w:p>
      <w:r>
        <w:rPr>
          <w:b/>
        </w:rPr>
        <w:t>2.1 Integration Architecture</w:t>
      </w:r>
    </w:p>
    <w:p>
      <w:r>
        <w:t>The Practice iFlow consists of a sender, a receiver, and an integration process. The sender and receiver are endpoint participants that interact with the integration process to exchange messages. The integration process is responsible for processing the messages and performing any necessary transformations or mappings.</w:t>
      </w:r>
    </w:p>
    <w:p>
      <w:r>
        <w:rPr>
          <w:b/>
        </w:rPr>
        <w:t>2.2 Integration Components</w:t>
      </w:r>
    </w:p>
    <w:p>
      <w:r>
        <w:t xml:space="preserve">The Practice iFlow includes the following components: </w:t>
      </w:r>
    </w:p>
    <w:p>
      <w:r>
        <w:t xml:space="preserve">Sender participant, </w:t>
      </w:r>
    </w:p>
    <w:p>
      <w:r>
        <w:t xml:space="preserve">Receiver participant, </w:t>
      </w:r>
    </w:p>
    <w:p>
      <w:r>
        <w:t xml:space="preserve">Integration Process participant, </w:t>
      </w:r>
    </w:p>
    <w:p>
      <w:r>
        <w:t xml:space="preserve">Start Event, </w:t>
      </w:r>
    </w:p>
    <w:p>
      <w:r>
        <w:t xml:space="preserve">End Event, </w:t>
      </w:r>
    </w:p>
    <w:p>
      <w:r>
        <w:t>Sequence Flow.</w:t>
      </w:r>
    </w:p>
    <w:p/>
    <w:p>
      <w:r>
        <w:rPr>
          <w:b/>
        </w:rPr>
        <w:t>3. Integration Scenarios</w:t>
      </w:r>
    </w:p>
    <w:p>
      <w:r>
        <w:rPr>
          <w:b/>
        </w:rPr>
        <w:t>3.1 Scenario Description</w:t>
      </w:r>
    </w:p>
    <w:p>
      <w:r>
        <w:t>The Practice iFlow scenario involves the sender participant sending a message to the integration process, which then processes the message and sends it to the receiver participant. The integration process includes a start event, a sequence flow, and an end event.</w:t>
      </w:r>
    </w:p>
    <w:p>
      <w:r>
        <w:rPr>
          <w:b/>
        </w:rPr>
        <w:t>3.2 Data Flows</w:t>
      </w:r>
    </w:p>
    <w:p>
      <w:r>
        <w:t>The data flow in the Practice iFlow involves the sender participant sending a message to the integration process, which then processes the message and sends it to the receiver participant. The message is passed from the start event to the end event through the sequence flow.</w:t>
      </w:r>
    </w:p>
    <w:p>
      <w:r>
        <w:rPr>
          <w:b/>
        </w:rPr>
        <w:t>3.3 Security Requirements</w:t>
      </w:r>
    </w:p>
    <w:p>
      <w:r>
        <w:t>The Practice iFlow does not include any specific security requirements, such as authentication or encryption, as it is a demonstration of a basic integration flow.</w:t>
      </w:r>
    </w:p>
    <w:p/>
    <w:p>
      <w:r>
        <w:rPr>
          <w:b/>
        </w:rPr>
        <w:t>4. Error Handling and Logging</w:t>
      </w:r>
    </w:p>
    <w:p>
      <w:r>
        <w:t>Error handling and logging are not explicitly defined in the Practice iFlow, but it is assumed that any errors that occur during the execution of the integration flow will be logged and handled according to the default settings of the SAP Cloud Platform Integration.</w:t>
      </w:r>
    </w:p>
    <w:p/>
    <w:p>
      <w:r>
        <w:rPr>
          <w:b/>
        </w:rPr>
        <w:t>5. Testing Validation</w:t>
      </w:r>
    </w:p>
    <w:p>
      <w:r>
        <w:t>The Practice iFlow can be tested and validated by sending a message from the sender participant and verifying that it is received by the receiver participant. The integration process can be monitored to ensure that it is executing correctly and that any errors are being handled properly.</w:t>
      </w:r>
    </w:p>
    <w:p/>
    <w:p>
      <w:r>
        <w:rPr>
          <w:b/>
        </w:rPr>
        <w:t>6. Reference Documents</w:t>
      </w:r>
    </w:p>
    <w:p>
      <w:r>
        <w:t>The Practice iFlow is based on the XML code provided, which defines the structure and configuration of the integration flow. This document provides a detailed description of the Practice iFlow, including its architecture, components, and configuration, and can be used as a reference for implementing and testing the integration flow.</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left"/>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SAP.jpg"/>
                  <pic:cNvPicPr/>
                </pic:nvPicPr>
                <pic:blipFill>
                  <a:blip r:embed="rId1"/>
                  <a:stretch>
                    <a:fillRect/>
                  </a:stretch>
                </pic:blipFill>
                <pic:spPr>
                  <a:xfrm>
                    <a:off x="0" y="0"/>
                    <a:ext cx="1005840" cy="1005840"/>
                  </a:xfrm>
                  <a:prstGeom prst="rect"/>
                </pic:spPr>
              </pic:pic>
            </a:graphicData>
          </a:graphic>
        </wp:inline>
      </w:drawing>
    </w:r>
  </w:p>
  <w:p>
    <w:pPr>
      <w:jc w:val="right"/>
    </w:pPr>
    <w:r>
      <w:drawing>
        <wp:inline xmlns:a="http://schemas.openxmlformats.org/drawingml/2006/main" xmlns:pic="http://schemas.openxmlformats.org/drawingml/2006/picture">
          <wp:extent cx="1005840" cy="1005840"/>
          <wp:docPr id="2" name="Picture 2"/>
          <wp:cNvGraphicFramePr>
            <a:graphicFrameLocks noChangeAspect="1"/>
          </wp:cNvGraphicFramePr>
          <a:graphic>
            <a:graphicData uri="http://schemas.openxmlformats.org/drawingml/2006/picture">
              <pic:pic>
                <pic:nvPicPr>
                  <pic:cNvPr id="0" name="mm_logo.png"/>
                  <pic:cNvPicPr/>
                </pic:nvPicPr>
                <pic:blipFill>
                  <a:blip r:embed="rId2"/>
                  <a:stretch>
                    <a:fillRect/>
                  </a:stretch>
                </pic:blipFill>
                <pic:spPr>
                  <a:xfrm>
                    <a:off x="0" y="0"/>
                    <a:ext cx="1005840" cy="10058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