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b/>
          <w:sz w:val="44"/>
        </w:rPr>
        <w:t>iflow1</w:t>
      </w:r>
    </w:p>
    <w:p>
      <w:r>
        <w:br/>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p>
        </w:tc>
      </w:tr>
      <w:tr>
        <w:tc>
          <w:tcPr>
            <w:tcW w:type="dxa" w:w="4320"/>
          </w:tcPr>
          <w:p>
            <w:r>
              <w:t>Date:</w:t>
            </w:r>
          </w:p>
        </w:tc>
        <w:tc>
          <w:tcPr>
            <w:tcW w:type="dxa" w:w="4320"/>
          </w:tcPr>
          <w:p>
            <w:r>
              <w:t>2025-12-23</w:t>
            </w:r>
          </w:p>
        </w:tc>
      </w:tr>
      <w:tr>
        <w:tc>
          <w:tcPr>
            <w:tcW w:type="dxa" w:w="4320"/>
          </w:tcPr>
          <w:p>
            <w:r>
              <w:t>Version:</w:t>
            </w:r>
          </w:p>
        </w:tc>
        <w:tc>
          <w:tcPr>
            <w:tcW w:type="dxa" w:w="4320"/>
          </w:tcPr>
          <w:p>
            <w:r>
              <w:t>Draft</w:t>
            </w:r>
          </w:p>
        </w:tc>
      </w:tr>
    </w:tbl>
    <w:p>
      <w:r>
        <w:br w:type="page"/>
      </w:r>
    </w:p>
    <w:p>
      <w:r>
        <w:rPr>
          <w:b/>
        </w:rPr>
        <w:t>Table of Contents</w:t>
      </w:r>
    </w:p>
    <w:p>
      <w:r>
        <w:t>1. Introduction</w:t>
      </w:r>
    </w:p>
    <w:p>
      <w:r>
        <w:t xml:space="preserve">    1.1 Purpose</w:t>
      </w:r>
    </w:p>
    <w:p>
      <w:r>
        <w:t xml:space="preserve">    1.2 Scope</w:t>
      </w:r>
    </w:p>
    <w:p>
      <w:r>
        <w:t>2. Integration Overview</w:t>
      </w:r>
    </w:p>
    <w:p>
      <w:r>
        <w:t xml:space="preserve">    2.1 Integration Architecture</w:t>
      </w:r>
    </w:p>
    <w:p>
      <w:r>
        <w:t xml:space="preserve">    2.2 Integration Components</w:t>
      </w:r>
    </w:p>
    <w:p>
      <w:r>
        <w:t>3. Integration Scenarios</w:t>
      </w:r>
    </w:p>
    <w:p>
      <w:r>
        <w:t xml:space="preserve">    3.1 Scenario Description</w:t>
      </w:r>
    </w:p>
    <w:p>
      <w:r>
        <w:t xml:space="preserve">    3.2 Data Flows</w:t>
      </w:r>
    </w:p>
    <w:p>
      <w:r>
        <w:t xml:space="preserve">    3.3 Security Requirements</w:t>
      </w:r>
    </w:p>
    <w:p>
      <w:r>
        <w:t>4. Error Handling and Logging</w:t>
      </w:r>
    </w:p>
    <w:p>
      <w:r>
        <w:t>5. Testing Validation</w:t>
      </w:r>
    </w:p>
    <w:p>
      <w:r>
        <w:t>6. Reference Documents</w:t>
      </w:r>
    </w:p>
    <w:p>
      <w:r>
        <w:br w:type="page"/>
      </w:r>
    </w:p>
    <w:p>
      <w:r>
        <w:t>1 Introduction</w:t>
      </w:r>
    </w:p>
    <w:p>
      <w:r>
        <w:rPr>
          <w:b/>
        </w:rPr>
        <w:t>1.1 Purpose</w:t>
      </w:r>
    </w:p>
    <w:p>
      <w:r>
        <w:t>The purpose of this document is to provide a detailed overview of iflow1, an SAP Cloud Platform Integration (CPI) integration flow.</w:t>
      </w:r>
    </w:p>
    <w:p>
      <w:r>
        <w:rPr>
          <w:b/>
        </w:rPr>
        <w:t>1.2 Scope</w:t>
      </w:r>
    </w:p>
    <w:p>
      <w:r>
        <w:t>The scope of this document covers the technical aspects of iflow1, including its architecture, components, integration scenarios, error handling, and testing.</w:t>
      </w:r>
    </w:p>
    <w:p/>
    <w:p>
      <w:r>
        <w:t>2 Integration Overview</w:t>
      </w:r>
    </w:p>
    <w:p>
      <w:r>
        <w:rPr>
          <w:b/>
        </w:rPr>
        <w:t>2.1 Integration Architecture</w:t>
      </w:r>
    </w:p>
    <w:p>
      <w:r>
        <w:t>The integration architecture of iflow1 consists of a sender, receiver, and an integration process. The sender initiates the integration flow, while the receiver is the target system where the data is sent. The integration process is responsible for transforming and routing the data between the sender and receiver.</w:t>
      </w:r>
    </w:p>
    <w:p>
      <w:r>
        <w:rPr>
          <w:b/>
        </w:rPr>
        <w:t>2.2 Integration Components</w:t>
      </w:r>
    </w:p>
    <w:p>
      <w:r>
        <w:t>The integration components of iflow1 include</w:t>
      </w:r>
    </w:p>
    <w:p>
      <w:r>
        <w:t>- Sender: The sender is the source system that initiates the integration flow.</w:t>
      </w:r>
    </w:p>
    <w:p>
      <w:r>
        <w:t>- Receiver: The receiver is the target system where the data is sent.</w:t>
      </w:r>
    </w:p>
    <w:p>
      <w:r>
        <w:t>- Adapters: The adapters used in iflow1 are not explicitly defined in the provided iFlow content.</w:t>
      </w:r>
    </w:p>
    <w:p/>
    <w:p>
      <w:r>
        <w:t>3 Integration Scenarios</w:t>
      </w:r>
    </w:p>
    <w:p>
      <w:r>
        <w:rPr>
          <w:b/>
        </w:rPr>
        <w:t>3.1 Scenario Description</w:t>
      </w:r>
    </w:p>
    <w:p>
      <w:r>
        <w:t>The integration scenario of iflow1 involves the exchange of data between the sender and receiver. The sender initiates the integration flow by sending a message to the integration process, which then routes the message to the receiver.</w:t>
      </w:r>
    </w:p>
    <w:p>
      <w:r>
        <w:rPr>
          <w:b/>
        </w:rPr>
        <w:t>3.2 Data Flows</w:t>
      </w:r>
    </w:p>
    <w:p>
      <w:r>
        <w:t>The data flows in iflow1 are not explicitly defined in the provided iFlow content. However, based on the iFlow content, it can be inferred that the data flows from the sender to the integration process and then to the receiver.</w:t>
      </w:r>
    </w:p>
    <w:p>
      <w:r>
        <w:rPr>
          <w:b/>
        </w:rPr>
        <w:t>3.3 Security Requirements</w:t>
      </w:r>
    </w:p>
    <w:p>
      <w:r>
        <w:t>The security requirements of iflow1 are not explicitly defined in the provided iFlow content. However, based on the iFlow content, it can be inferred that basic authentication is not enabled for the sender.</w:t>
      </w:r>
    </w:p>
    <w:p/>
    <w:p>
      <w:r>
        <w:t>4 Error Handling and Logging</w:t>
      </w:r>
    </w:p>
    <w:p>
      <w:r>
        <w:t>The error handling and logging mechanisms of iflow1 are not explicitly defined in the provided iFlow content. However, based on the iFlow content, it can be inferred that the integration flow is configured to log all events.</w:t>
      </w:r>
    </w:p>
    <w:p/>
    <w:p>
      <w:r>
        <w:t>5 Testing Validation</w:t>
      </w:r>
    </w:p>
    <w:p>
      <w:r>
        <w:t>The testing and validation of iflow1 involve verifying that the integration flow works as expected. This includes testing the data flows, error handling, and security mechanisms.</w:t>
      </w:r>
    </w:p>
    <w:p/>
    <w:p>
      <w:r>
        <w:t>6 Reference Documents</w:t>
      </w:r>
    </w:p>
    <w:p>
      <w:r>
        <w:t>The reference documents for iflow1 include the SAP Cloud Platform Integration documentation and other relevant technical documents. The iFlow content provided is in XML format and is based on the BPMN 2.0 standard. The XML content defines the integration flow, including the sender, receiver, and integration process. The XML content also defines the data flows, error handling, and security mechanisms.</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SAP.jpg"/>
                  <pic:cNvPicPr/>
                </pic:nvPicPr>
                <pic:blipFill>
                  <a:blip r:embed="rId1"/>
                  <a:stretch>
                    <a:fillRect/>
                  </a:stretch>
                </pic:blipFill>
                <pic:spPr>
                  <a:xfrm>
                    <a:off x="0" y="0"/>
                    <a:ext cx="914400" cy="914400"/>
                  </a:xfrm>
                  <a:prstGeom prst="rect"/>
                </pic:spPr>
              </pic:pic>
            </a:graphicData>
          </a:graphic>
        </wp:inline>
      </w:drawing>
    </w:r>
    <w:r>
      <w:tab/>
      <w:tab/>
    </w: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mm_logo.png"/>
                  <pic:cNvPicPr/>
                </pic:nvPicPr>
                <pic:blipFill>
                  <a:blip r:embed="rId2"/>
                  <a:stretch>
                    <a:fillRect/>
                  </a:stretch>
                </pic:blipFill>
                <pic:spPr>
                  <a:xfrm>
                    <a:off x="0" y="0"/>
                    <a:ext cx="914400" cy="9144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