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=========================</w:t>
      </w:r>
      <w:r>
        <w:t xml:space="preserve"> </w:t>
      </w:r>
      <w:r>
        <w:t xml:space="preserve">PAGE 1 (TITLE PAGE)</w:t>
      </w:r>
      <w:r>
        <w:t xml:space="preserve"> </w:t>
      </w:r>
      <w:r>
        <w:t xml:space="preserve">=========================</w:t>
      </w:r>
      <w:r>
        <w:t xml:space="preserve"> </w:t>
      </w:r>
      <w:r>
        <w:t xml:space="preserve"># iflow1</w:t>
      </w:r>
      <w:r>
        <w:t xml:space="preserve"> </w:t>
      </w:r>
      <w:r>
        <w:t xml:space="preserve">| Author | Date | Version |</w:t>
      </w:r>
      <w:r>
        <w:t xml:space="preserve"> </w:t>
      </w:r>
      <w:r>
        <w:t xml:space="preserve">| — | — | — |</w:t>
      </w:r>
      <w:r>
        <w:t xml:space="preserve"> </w:t>
      </w:r>
      <w:r>
        <w:t xml:space="preserve">| Your Name | Today’s Date | 1.0 |</w:t>
      </w:r>
    </w:p>
    <w:p>
      <w:pPr>
        <w:pStyle w:val="BodyText"/>
      </w:pPr>
      <w:r>
        <w:t xml:space="preserve">=========================</w:t>
      </w:r>
      <w:r>
        <w:t xml:space="preserve"> </w:t>
      </w:r>
      <w:r>
        <w:t xml:space="preserve">PAGE 2 AND ONWARDS</w:t>
      </w:r>
      <w:r>
        <w:t xml:space="preserve"> </w:t>
      </w:r>
      <w:r>
        <w:t xml:space="preserve">=========================</w:t>
      </w:r>
    </w:p>
    <w:bookmarkStart w:id="20" w:name="architecture"/>
    <w:p>
      <w:pPr>
        <w:pStyle w:val="Heading2"/>
      </w:pPr>
      <w:r>
        <w:t xml:space="preserve">1. Architecture</w:t>
      </w:r>
    </w:p>
    <w:p>
      <w:pPr>
        <w:pStyle w:val="FirstParagraph"/>
      </w:pPr>
      <w:r>
        <w:t xml:space="preserve">The iflow1 integration flow is designed using SAP Cloud Platform Integration (CPI). It consists of a sender, a receiver, and an integration process.</w:t>
      </w:r>
    </w:p>
    <w:bookmarkEnd w:id="20"/>
    <w:bookmarkStart w:id="21" w:name="purpose"/>
    <w:p>
      <w:pPr>
        <w:pStyle w:val="Heading2"/>
      </w:pPr>
      <w:r>
        <w:t xml:space="preserve">2. Purpose</w:t>
      </w:r>
    </w:p>
    <w:p>
      <w:pPr>
        <w:pStyle w:val="FirstParagraph"/>
      </w:pPr>
      <w:r>
        <w:t xml:space="preserve">The purpose of iflow1 is to demonstrate a basic integration flow using SAP CPI. It showcases the capabilities of CPI in integrating different systems and applications.</w:t>
      </w:r>
    </w:p>
    <w:bookmarkEnd w:id="21"/>
    <w:bookmarkStart w:id="22" w:name="senderreceiver"/>
    <w:p>
      <w:pPr>
        <w:pStyle w:val="Heading2"/>
      </w:pPr>
      <w:r>
        <w:t xml:space="preserve">3. Sender/Receiver</w:t>
      </w:r>
    </w:p>
    <w:p>
      <w:pPr>
        <w:pStyle w:val="FirstParagraph"/>
      </w:pPr>
      <w:r>
        <w:t xml:space="preserve">The sender is an endpoint that sends a message to the integration flow, while the receiver is an endpoint that receives the processed message from the integration flow.</w:t>
      </w:r>
    </w:p>
    <w:bookmarkEnd w:id="22"/>
    <w:bookmarkStart w:id="23" w:name="adapters"/>
    <w:p>
      <w:pPr>
        <w:pStyle w:val="Heading2"/>
      </w:pPr>
      <w:r>
        <w:t xml:space="preserve">4. Adapters</w:t>
      </w:r>
    </w:p>
    <w:p>
      <w:pPr>
        <w:pStyle w:val="FirstParagraph"/>
      </w:pPr>
      <w:r>
        <w:t xml:space="preserve">The iflow1 integration flow uses the HTTP adapter for sending and receiving messages.</w:t>
      </w:r>
    </w:p>
    <w:bookmarkEnd w:id="23"/>
    <w:bookmarkStart w:id="24" w:name="flow-logic"/>
    <w:p>
      <w:pPr>
        <w:pStyle w:val="Heading2"/>
      </w:pPr>
      <w:r>
        <w:t xml:space="preserve">5. Flow logic</w:t>
      </w:r>
    </w:p>
    <w:p>
      <w:pPr>
        <w:pStyle w:val="FirstParagraph"/>
      </w:pPr>
      <w:r>
        <w:t xml:space="preserve">The flow logic of iflow1 is straightforward. It starts with a start event, followed by a sequence flow that leads to an end event.</w:t>
      </w:r>
    </w:p>
    <w:bookmarkEnd w:id="24"/>
    <w:bookmarkStart w:id="25" w:name="mapping"/>
    <w:p>
      <w:pPr>
        <w:pStyle w:val="Heading2"/>
      </w:pPr>
      <w:r>
        <w:t xml:space="preserve">6. Mapping</w:t>
      </w:r>
    </w:p>
    <w:p>
      <w:pPr>
        <w:pStyle w:val="FirstParagraph"/>
      </w:pPr>
      <w:r>
        <w:t xml:space="preserve">No mapping is required in iflow1 as it does not involve any data transformation.</w:t>
      </w:r>
    </w:p>
    <w:bookmarkEnd w:id="25"/>
    <w:bookmarkStart w:id="26" w:name="groovy"/>
    <w:p>
      <w:pPr>
        <w:pStyle w:val="Heading2"/>
      </w:pPr>
      <w:r>
        <w:t xml:space="preserve">7. Groovy</w:t>
      </w:r>
    </w:p>
    <w:p>
      <w:pPr>
        <w:pStyle w:val="FirstParagraph"/>
      </w:pPr>
      <w:r>
        <w:t xml:space="preserve">No Groovy scripts are used in iflow1.</w:t>
      </w:r>
    </w:p>
    <w:bookmarkEnd w:id="26"/>
    <w:bookmarkStart w:id="27" w:name="error-handling"/>
    <w:p>
      <w:pPr>
        <w:pStyle w:val="Heading2"/>
      </w:pPr>
      <w:r>
        <w:t xml:space="preserve">8. Error handling</w:t>
      </w:r>
    </w:p>
    <w:p>
      <w:pPr>
        <w:pStyle w:val="FirstParagraph"/>
      </w:pPr>
      <w:r>
        <w:t xml:space="preserve">Error handling is not explicitly implemented in iflow1. However, CPI provides built-in error handling mechanisms that can be used to handle errors and exceptions.</w:t>
      </w:r>
    </w:p>
    <w:bookmarkEnd w:id="27"/>
    <w:bookmarkStart w:id="28" w:name="security"/>
    <w:p>
      <w:pPr>
        <w:pStyle w:val="Heading2"/>
      </w:pPr>
      <w:r>
        <w:t xml:space="preserve">9. Security</w:t>
      </w:r>
    </w:p>
    <w:p>
      <w:pPr>
        <w:pStyle w:val="FirstParagraph"/>
      </w:pPr>
      <w:r>
        <w:t xml:space="preserve">Security is an essential aspect of iflow1. It uses basic authentication and SSL/TLS encryption to secure the communication between the sender, receiver, and the integration flow.</w:t>
      </w:r>
    </w:p>
    <w:bookmarkEnd w:id="28"/>
    <w:bookmarkStart w:id="29" w:name="high-level-mermaid-diagram"/>
    <w:p>
      <w:pPr>
        <w:pStyle w:val="Heading2"/>
      </w:pPr>
      <w:r>
        <w:t xml:space="preserve">10. High-Level Mermaid Diagram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A[Sender] --&gt; B[CPI]</w:t>
      </w:r>
      <w:r>
        <w:br/>
      </w:r>
      <w:r>
        <w:rPr>
          <w:rStyle w:val="VerbatimChar"/>
        </w:rPr>
        <w:t xml:space="preserve">B --&gt; C[Receiver]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2025-12-15T11:13:27Z</dcterms:created>
  <dcterms:modified xsi:type="dcterms:W3CDTF">2025-12-15T11:13:27Z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