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media/image1.jpg" ContentType="image/jpe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PAGE 1:</w:t>
      </w:r>
    </w:p>
    <w:p>
      <w:pPr>
        <w:pStyle w:val="BodyText"/>
      </w:pPr>
      <w:r>
        <w:t xml:space="preserve">iflow1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Author</w:t>
            </w:r>
          </w:p>
        </w:tc>
        <w:tc>
          <w:tcPr/>
          <w:p>
            <w:pPr>
              <w:pStyle w:val="Compact"/>
              <w:jc w:val="left"/>
            </w:pPr>
            <w:r>
              <w:t xml:space="preserve">Date</w:t>
            </w:r>
          </w:p>
        </w:tc>
        <w:tc>
          <w:tcPr/>
          <w:p>
            <w:pPr>
              <w:pStyle w:val="Compact"/>
              <w:jc w:val="left"/>
            </w:pPr>
            <w:r>
              <w:t xml:space="preserve">Version</w:t>
            </w:r>
          </w:p>
        </w:tc>
      </w:tr>
      <w:tr>
        <w:tc>
          <w:tcPr/>
          <w:p>
            <w:pPr>
              <w:pStyle w:val="Compact"/>
              <w:jc w:val="left"/>
            </w:pPr>
            <w:r>
              <w:t xml:space="preserve">Your Name</w:t>
            </w:r>
          </w:p>
        </w:tc>
        <w:tc>
          <w:tcPr/>
          <w:p>
            <w:pPr>
              <w:pStyle w:val="Compact"/>
              <w:jc w:val="left"/>
            </w:pPr>
            <w:r>
              <w:t xml:space="preserve">Today’s Date</w:t>
            </w:r>
          </w:p>
        </w:tc>
        <w:tc>
          <w:tcPr/>
          <w:p>
            <w:pPr>
              <w:pStyle w:val="Compact"/>
              <w:jc w:val="left"/>
            </w:pPr>
            <w:r>
              <w:t xml:space="preserve">1.0</w:t>
            </w:r>
          </w:p>
        </w:tc>
      </w:tr>
    </w:tbl>
    <w:p>
      <w:pPr>
        <w:pStyle w:val="BodyText"/>
      </w:pPr>
      <w:r>
        <w:t xml:space="preserve">PAGE 2:</w:t>
      </w:r>
      <w:r>
        <w:t xml:space="preserve"> </w:t>
      </w:r>
      <w:r>
        <w:t xml:space="preserve">1.</w:t>
      </w:r>
      <w:r>
        <w:t xml:space="preserve"> </w:t>
      </w:r>
      <w:r>
        <w:rPr>
          <w:bCs/>
          <w:b/>
        </w:rPr>
        <w:t xml:space="preserve">Architecture</w:t>
      </w:r>
      <w:r>
        <w:t xml:space="preserve">: The iflow1 integration flow is designed using SAP Cloud Platform Integration (CPI). It consists of a sender, receiver, and an integration process.</w:t>
      </w:r>
    </w:p>
    <w:p>
      <w:pPr>
        <w:numPr>
          <w:ilvl w:val="0"/>
          <w:numId w:val="1001"/>
        </w:numPr>
      </w:pPr>
      <w:r>
        <w:rPr>
          <w:bCs/>
          <w:b/>
        </w:rPr>
        <w:t xml:space="preserve">Purpose</w:t>
      </w:r>
      <w:r>
        <w:t xml:space="preserve">: The purpose of this integration flow is to demonstrate a basic integration scenario between a sender and receiver system, with an integration process in between.</w:t>
      </w:r>
    </w:p>
    <w:p>
      <w:pPr>
        <w:numPr>
          <w:ilvl w:val="0"/>
          <w:numId w:val="1001"/>
        </w:numPr>
      </w:pPr>
      <w:r>
        <w:rPr>
          <w:bCs/>
          <w:b/>
        </w:rPr>
        <w:t xml:space="preserve">Sender / Receiver systems</w:t>
      </w:r>
      <w:r>
        <w:t xml:space="preserve">:</w:t>
      </w:r>
    </w:p>
    <w:p>
      <w:pPr>
        <w:numPr>
          <w:ilvl w:val="1"/>
          <w:numId w:val="1002"/>
        </w:numPr>
        <w:pStyle w:val="Compact"/>
      </w:pPr>
      <w:r>
        <w:rPr>
          <w:bCs/>
          <w:b/>
        </w:rPr>
        <w:t xml:space="preserve">Sender</w:t>
      </w:r>
      <w:r>
        <w:t xml:space="preserve">: EndpointSender</w:t>
      </w:r>
    </w:p>
    <w:p>
      <w:pPr>
        <w:numPr>
          <w:ilvl w:val="1"/>
          <w:numId w:val="1002"/>
        </w:numPr>
        <w:pStyle w:val="Compact"/>
      </w:pPr>
      <w:r>
        <w:rPr>
          <w:bCs/>
          <w:b/>
        </w:rPr>
        <w:t xml:space="preserve">Receiver</w:t>
      </w:r>
      <w:r>
        <w:t xml:space="preserve">: EndpointRecevier</w:t>
      </w:r>
    </w:p>
    <w:p>
      <w:pPr>
        <w:numPr>
          <w:ilvl w:val="0"/>
          <w:numId w:val="1001"/>
        </w:numPr>
      </w:pPr>
      <w:r>
        <w:rPr>
          <w:bCs/>
          <w:b/>
        </w:rPr>
        <w:t xml:space="preserve">Adapter types used</w:t>
      </w:r>
      <w:r>
        <w:t xml:space="preserve">:</w:t>
      </w:r>
    </w:p>
    <w:p>
      <w:pPr>
        <w:numPr>
          <w:ilvl w:val="1"/>
          <w:numId w:val="1003"/>
        </w:numPr>
        <w:pStyle w:val="Compact"/>
      </w:pPr>
      <w:r>
        <w:t xml:space="preserve">The adapter types used in this integration flow are not explicitly specified in the provided XML code. However, based on the participant types, it can be inferred that HTTP or other standard adapters might be used.</w:t>
      </w:r>
    </w:p>
    <w:p>
      <w:pPr>
        <w:numPr>
          <w:ilvl w:val="0"/>
          <w:numId w:val="1001"/>
        </w:numPr>
      </w:pPr>
      <w:r>
        <w:rPr>
          <w:bCs/>
          <w:b/>
        </w:rPr>
        <w:t xml:space="preserve">Step-by-step flow logic</w:t>
      </w:r>
      <w:r>
        <w:t xml:space="preserve">:</w:t>
      </w:r>
    </w:p>
    <w:p>
      <w:pPr>
        <w:numPr>
          <w:ilvl w:val="1"/>
          <w:numId w:val="1004"/>
        </w:numPr>
        <w:pStyle w:val="Compact"/>
      </w:pPr>
      <w:r>
        <w:t xml:space="preserve">The integration flow starts with a</w:t>
      </w:r>
      <w:r>
        <w:t xml:space="preserve"> </w:t>
      </w:r>
      <w:r>
        <w:rPr>
          <w:bCs/>
          <w:b/>
        </w:rPr>
        <w:t xml:space="preserve">StartEvent</w:t>
      </w:r>
      <w:r>
        <w:t xml:space="preserve">.</w:t>
      </w:r>
    </w:p>
    <w:p>
      <w:pPr>
        <w:numPr>
          <w:ilvl w:val="1"/>
          <w:numId w:val="1004"/>
        </w:numPr>
        <w:pStyle w:val="Compact"/>
      </w:pPr>
      <w:r>
        <w:t xml:space="preserve">The sequence flow then proceeds to an</w:t>
      </w:r>
      <w:r>
        <w:t xml:space="preserve"> </w:t>
      </w:r>
      <w:r>
        <w:rPr>
          <w:bCs/>
          <w:b/>
        </w:rPr>
        <w:t xml:space="preserve">EndEvent</w:t>
      </w:r>
      <w:r>
        <w:t xml:space="preserve">, indicating the completion of the integration process.</w:t>
      </w:r>
    </w:p>
    <w:p>
      <w:pPr>
        <w:numPr>
          <w:ilvl w:val="0"/>
          <w:numId w:val="1001"/>
        </w:numPr>
      </w:pPr>
      <w:r>
        <w:rPr>
          <w:bCs/>
          <w:b/>
        </w:rPr>
        <w:t xml:space="preserve">Mapping logic summary</w:t>
      </w:r>
      <w:r>
        <w:t xml:space="preserve">:</w:t>
      </w:r>
    </w:p>
    <w:p>
      <w:pPr>
        <w:numPr>
          <w:ilvl w:val="1"/>
          <w:numId w:val="1005"/>
        </w:numPr>
        <w:pStyle w:val="Compact"/>
      </w:pPr>
      <w:r>
        <w:t xml:space="preserve">No explicit mapping logic is provided in the given XML code. However, in a real-world scenario, mapping would be used to transform the sender’s data into the required format for the receiver.</w:t>
      </w:r>
    </w:p>
    <w:p>
      <w:pPr>
        <w:numPr>
          <w:ilvl w:val="0"/>
          <w:numId w:val="1001"/>
        </w:numPr>
      </w:pPr>
      <w:r>
        <w:rPr>
          <w:bCs/>
          <w:b/>
        </w:rPr>
        <w:t xml:space="preserve">Groovy script explanation</w:t>
      </w:r>
      <w:r>
        <w:t xml:space="preserve">:</w:t>
      </w:r>
    </w:p>
    <w:p>
      <w:pPr>
        <w:numPr>
          <w:ilvl w:val="1"/>
          <w:numId w:val="1006"/>
        </w:numPr>
        <w:pStyle w:val="Compact"/>
      </w:pPr>
      <w:r>
        <w:t xml:space="preserve">No Groovy script is provided in the given XML code. However, Groovy scripts can be used in SAP CPI to perform custom logic, data transformations, or to interact with external systems.</w:t>
      </w:r>
    </w:p>
    <w:p>
      <w:pPr>
        <w:numPr>
          <w:ilvl w:val="0"/>
          <w:numId w:val="1001"/>
        </w:numPr>
      </w:pPr>
      <w:r>
        <w:rPr>
          <w:bCs/>
          <w:b/>
        </w:rPr>
        <w:t xml:space="preserve">Error handling</w:t>
      </w:r>
      <w:r>
        <w:t xml:space="preserve">:</w:t>
      </w:r>
    </w:p>
    <w:p>
      <w:pPr>
        <w:numPr>
          <w:ilvl w:val="1"/>
          <w:numId w:val="1007"/>
        </w:numPr>
        <w:pStyle w:val="Compact"/>
      </w:pPr>
      <w:r>
        <w:t xml:space="preserve">Error handling is not explicitly specified in the provided XML code. However, in a real-world scenario, error handling mechanisms such as exception subprocesses or error endpoints would be used to handle any errors that occur during the integration process.</w:t>
      </w:r>
    </w:p>
    <w:p>
      <w:pPr>
        <w:numPr>
          <w:ilvl w:val="0"/>
          <w:numId w:val="1001"/>
        </w:numPr>
      </w:pPr>
      <w:r>
        <w:rPr>
          <w:bCs/>
          <w:b/>
        </w:rPr>
        <w:t xml:space="preserve">Security / Authentication</w:t>
      </w:r>
      <w:r>
        <w:t xml:space="preserve">:</w:t>
      </w:r>
    </w:p>
    <w:p>
      <w:pPr>
        <w:numPr>
          <w:ilvl w:val="1"/>
          <w:numId w:val="1008"/>
        </w:numPr>
        <w:pStyle w:val="Compact"/>
      </w:pPr>
      <w:r>
        <w:t xml:space="preserve">The provided XML code specifies that basic authentication is not enabled for the sender.</w:t>
      </w:r>
    </w:p>
    <w:p>
      <w:pPr>
        <w:numPr>
          <w:ilvl w:val="1"/>
          <w:numId w:val="1008"/>
        </w:numPr>
        <w:pStyle w:val="Compact"/>
      </w:pPr>
      <w:r>
        <w:t xml:space="preserve">Other security mechanisms such as OAuth, API keys, or SSL/TLS might be used to secure the integration flow, but they are not explicitly specified in the given code.</w:t>
      </w:r>
    </w:p>
    <w:p>
      <w:pPr>
        <w:numPr>
          <w:ilvl w:val="0"/>
          <w:numId w:val="1001"/>
        </w:numPr>
      </w:pPr>
      <w:r>
        <w:rPr>
          <w:bCs/>
          <w:b/>
        </w:rPr>
        <w:t xml:space="preserve">High-Level Mermaid Diagram</w:t>
      </w:r>
      <w:r>
        <w:t xml:space="preserve">:</w:t>
      </w:r>
    </w:p>
    <w:p>
      <w:pPr>
        <w:pStyle w:val="SourceCode"/>
      </w:pPr>
      <w:r>
        <w:rPr>
          <w:rStyle w:val="VerbatimChar"/>
        </w:rPr>
        <w:t xml:space="preserve">graph TD</w:t>
      </w:r>
      <w:r>
        <w:br/>
      </w:r>
      <w:r>
        <w:rPr>
          <w:rStyle w:val="VerbatimChar"/>
        </w:rPr>
        <w:t xml:space="preserve">    A[StartEvent] --&gt; B[Integration Process]</w:t>
      </w:r>
      <w:r>
        <w:br/>
      </w:r>
      <w:r>
        <w:rPr>
          <w:rStyle w:val="VerbatimChar"/>
        </w:rPr>
        <w:t xml:space="preserve">    B --&gt; C[EndEvent]</w:t>
      </w:r>
      <w:r>
        <w:br/>
      </w:r>
      <w:r>
        <w:rPr>
          <w:rStyle w:val="VerbatimChar"/>
        </w:rPr>
        <w:t xml:space="preserve">    D[Sender] --&gt; A</w:t>
      </w:r>
      <w:r>
        <w:br/>
      </w:r>
      <w:r>
        <w:rPr>
          <w:rStyle w:val="VerbatimChar"/>
        </w:rPr>
        <w:t xml:space="preserve">    C --&gt; E[Receiver]</w:t>
      </w:r>
    </w:p>
    <w:sectPr w:rsidR="009E5324">
      <w:headerReference r:id="rId9" w:type="default"/>
      <w:footerReference r:id="rId13" w:type="default"/>
      <w:pgSz w:h="15840" w:orient="portrait" w:w="12240"/>
      <w:pgMar w:bottom="1440" w:footer="720" w:gutter="0" w:header="720" w:left="1800" w:right="1800" w:top="1440"/>
      <w:cols w:space="720"/>
      <w:titlePg/>
      <w:docGrid w:linePitch="360"/>
      <w:headerReference r:id="rId11" w:type="first"/>
      <w:footerReference r:id="rId15" w:type="firs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5324" w:rsidRDefault="009E5324" w14:paraId="068117B6" w14:textId="77777777">
    <w:pPr>
      <w:pStyle w:val="Footer"/>
    </w:pPr>
  </w:p>
  <w:tbl>
    <w:tblPr>
      <w:tblW w:w="0" w:type="auto"/>
      <w:tblLayout w:type="fixed"/>
      <w:tblLook w:val="04A0" w:firstRow="1" w:lastRow="0" w:firstColumn="1" w:lastColumn="0" w:noHBand="0" w:noVBand="1"/>
    </w:tblPr>
    <w:tblGrid>
      <w:gridCol w:w="2880"/>
      <w:gridCol w:w="2880"/>
      <w:gridCol w:w="2880"/>
    </w:tblGrid>
    <w:tr w:rsidR="009E5324" w14:paraId="3708BC99" w14:textId="77777777">
      <w:tc>
        <w:tcPr>
          <w:tcW w:w="2880" w:type="dxa"/>
        </w:tcPr>
        <w:p w:rsidR="009E5324" w:rsidRDefault="009E5324" w14:paraId="21775E30" w14:textId="77777777"/>
      </w:tc>
      <w:tc>
        <w:tcPr>
          <w:tcW w:w="2880" w:type="dxa"/>
        </w:tcPr>
        <w:p w:rsidR="009E5324" w:rsidRDefault="007A7EAC" w14:paraId="7B650C55" w14:textId="77777777">
          <w:pPr>
            <w:jc w:val="center"/>
          </w:pPr>
          <w:r>
            <w:rPr>
              <w:rFonts w:ascii="Cambria" w:hAnsi="Cambria"/>
              <w:sz w:val="20"/>
            </w:rPr>
            <w:t>SAP CPI TS Document</w:t>
          </w:r>
        </w:p>
      </w:tc>
      <w:tc>
        <w:tcPr>
          <w:tcW w:w="2880" w:type="dxa"/>
        </w:tcPr>
        <w:p w:rsidR="009E5324" w:rsidRDefault="009E5324" w14:paraId="6E972238" w14:textId="77777777"/>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5324" w:rsidRDefault="007A7EAC" w14:paraId="7A7F06F9" w14:textId="49FAAD25">
    <w:pPr>
      <w:pStyle w:val="Footer"/>
      <w:jc w:val="right"/>
    </w:pPr>
    <w:r>
      <w:t xml:space="preserve">Page </w:t>
    </w:r>
    <w:r>
      <w:fldChar w:fldCharType="begin"/>
    </w:r>
    <w:r>
      <w:instrText>PAGE</w:instrText>
    </w:r>
    <w:r>
      <w:fldChar w:fldCharType="separate"/>
    </w:r>
    <w:r w:rsidR="00521C1D">
      <w:rPr>
        <w:noProof/>
      </w:rPr>
      <w:t>3</w:t>
    </w:r>
    <w:r>
      <w:fldChar w:fldCharType="end"/>
    </w: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CB7589A" w:rsidTr="5CB7589A" w14:paraId="142D6D5D">
      <w:trPr>
        <w:trHeight w:val="300"/>
      </w:trPr>
      <w:tc>
        <w:tcPr>
          <w:tcW w:w="2880" w:type="dxa"/>
          <w:tcMar/>
        </w:tcPr>
        <w:p w:rsidR="5CB7589A" w:rsidP="5CB7589A" w:rsidRDefault="5CB7589A" w14:paraId="246573D3" w14:textId="7CDA4A99">
          <w:pPr>
            <w:pStyle w:val="Header"/>
            <w:bidi w:val="0"/>
            <w:ind w:left="-115"/>
            <w:jc w:val="left"/>
          </w:pPr>
        </w:p>
      </w:tc>
      <w:tc>
        <w:tcPr>
          <w:tcW w:w="2880" w:type="dxa"/>
          <w:tcMar/>
        </w:tcPr>
        <w:p w:rsidR="5CB7589A" w:rsidP="5CB7589A" w:rsidRDefault="5CB7589A" w14:paraId="45CA9AF1" w14:textId="361C8965">
          <w:pPr>
            <w:pStyle w:val="Header"/>
            <w:bidi w:val="0"/>
            <w:jc w:val="center"/>
          </w:pPr>
        </w:p>
      </w:tc>
      <w:tc>
        <w:tcPr>
          <w:tcW w:w="2880" w:type="dxa"/>
          <w:tcMar/>
        </w:tcPr>
        <w:p w:rsidR="5CB7589A" w:rsidP="5CB7589A" w:rsidRDefault="5CB7589A" w14:paraId="0419026F" w14:textId="60FBCBC3">
          <w:pPr>
            <w:pStyle w:val="Header"/>
            <w:bidi w:val="0"/>
            <w:ind w:right="-115"/>
            <w:jc w:val="right"/>
          </w:pPr>
        </w:p>
      </w:tc>
    </w:tr>
  </w:tbl>
  <w:p w:rsidR="5CB7589A" w:rsidP="5CB7589A" w:rsidRDefault="5CB7589A" w14:paraId="1C4B8A0C" w14:textId="52A0DB6F">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CB7589A" w:rsidTr="5CB7589A" w14:paraId="1196A7B6">
      <w:trPr>
        <w:trHeight w:val="300"/>
      </w:trPr>
      <w:tc>
        <w:tcPr>
          <w:tcW w:w="2880" w:type="dxa"/>
          <w:tcMar/>
        </w:tcPr>
        <w:p w:rsidR="5CB7589A" w:rsidP="5CB7589A" w:rsidRDefault="5CB7589A" w14:paraId="58AE2ABD" w14:textId="0297F698">
          <w:pPr>
            <w:pStyle w:val="Header"/>
            <w:bidi w:val="0"/>
            <w:ind w:left="-115"/>
            <w:jc w:val="left"/>
          </w:pPr>
        </w:p>
      </w:tc>
      <w:tc>
        <w:tcPr>
          <w:tcW w:w="2880" w:type="dxa"/>
          <w:tcMar/>
        </w:tcPr>
        <w:p w:rsidR="5CB7589A" w:rsidP="5CB7589A" w:rsidRDefault="5CB7589A" w14:paraId="0A00C7C9" w14:textId="0F0901D4">
          <w:pPr>
            <w:pStyle w:val="Header"/>
            <w:bidi w:val="0"/>
            <w:jc w:val="center"/>
          </w:pPr>
        </w:p>
      </w:tc>
      <w:tc>
        <w:tcPr>
          <w:tcW w:w="2880" w:type="dxa"/>
          <w:tcMar/>
        </w:tcPr>
        <w:p w:rsidR="5CB7589A" w:rsidP="5CB7589A" w:rsidRDefault="5CB7589A" w14:paraId="4B30B236" w14:textId="79557AD9">
          <w:pPr>
            <w:pStyle w:val="Header"/>
            <w:bidi w:val="0"/>
            <w:ind w:right="-115"/>
            <w:jc w:val="right"/>
          </w:pPr>
        </w:p>
      </w:tc>
    </w:tr>
  </w:tbl>
  <w:p w:rsidR="5CB7589A" w:rsidP="5CB7589A" w:rsidRDefault="5CB7589A" w14:paraId="64E227D6" w14:textId="74F2C1CD">
    <w:pPr>
      <w:pStyle w:val="Footer"/>
      <w:bidi w:val="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E5324" w:rsidRDefault="009E5324" w14:paraId="214B03EB" w14:textId="77777777">
    <w:pPr>
      <w:pStyle w:val="Header"/>
    </w:pPr>
  </w:p>
  <w:tbl>
    <w:tblPr>
      <w:tblW w:w="0" w:type="auto"/>
      <w:tblLayout w:type="fixed"/>
      <w:tblLook w:val="04A0" w:firstRow="1" w:lastRow="0" w:firstColumn="1" w:lastColumn="0" w:noHBand="0" w:noVBand="1"/>
    </w:tblPr>
    <w:tblGrid>
      <w:gridCol w:w="4320"/>
      <w:gridCol w:w="4320"/>
    </w:tblGrid>
    <w:tr w:rsidR="009E5324" w14:paraId="78ABDDFC" w14:textId="77777777">
      <w:tc>
        <w:tcPr>
          <w:tcW w:w="4320" w:type="dxa"/>
        </w:tcPr>
        <w:p w:rsidR="009E5324" w:rsidRDefault="007A7EAC" w14:paraId="55E1FFF9" w14:textId="77777777">
          <w:r>
            <w:rPr>
              <w:noProof/>
            </w:rPr>
            <w:drawing>
              <wp:inline distT="0" distB="0" distL="0" distR="0" wp14:anchorId="218B88A2" wp14:editId="0105615B">
                <wp:extent cx="914400" cy="475488"/>
                <wp:effectExtent l="0" t="0" r="0" b="0"/>
                <wp:docPr id="1926069272" name="Picture 192606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914400" cy="475488"/>
                        </a:xfrm>
                        <a:prstGeom prst="rect">
                          <a:avLst/>
                        </a:prstGeom>
                      </pic:spPr>
                    </pic:pic>
                  </a:graphicData>
                </a:graphic>
              </wp:inline>
            </w:drawing>
          </w:r>
        </w:p>
      </w:tc>
      <w:tc>
        <w:tcPr>
          <w:tcW w:w="4320" w:type="dxa"/>
        </w:tcPr>
        <w:p w:rsidR="009E5324" w:rsidRDefault="007A7EAC" w14:paraId="5A25D6BC" w14:textId="77777777">
          <w:pPr>
            <w:jc w:val="right"/>
          </w:pPr>
          <w:r>
            <w:rPr>
              <w:noProof/>
            </w:rPr>
            <w:drawing>
              <wp:inline distT="0" distB="0" distL="0" distR="0" wp14:anchorId="4674A3DE" wp14:editId="03BF6441">
                <wp:extent cx="914400" cy="514350"/>
                <wp:effectExtent l="0" t="0" r="0" b="0"/>
                <wp:docPr id="877035979" name="Picture 877035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
                        <a:stretch>
                          <a:fillRect/>
                        </a:stretch>
                      </pic:blipFill>
                      <pic:spPr>
                        <a:xfrm>
                          <a:off x="0" y="0"/>
                          <a:ext cx="914400" cy="514350"/>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E5324" w:rsidRDefault="009E5324" w14:paraId="33AFA383" w14:textId="77777777">
    <w:pPr>
      <w:pStyle w:val="Header"/>
    </w:pPr>
  </w:p>
  <w:tbl>
    <w:tblPr>
      <w:tblW w:w="0" w:type="auto"/>
      <w:tblLayout w:type="fixed"/>
      <w:tblLook w:val="04A0" w:firstRow="1" w:lastRow="0" w:firstColumn="1" w:lastColumn="0" w:noHBand="0" w:noVBand="1"/>
    </w:tblPr>
    <w:tblGrid>
      <w:gridCol w:w="4320"/>
      <w:gridCol w:w="4320"/>
    </w:tblGrid>
    <w:tr w:rsidR="009E5324" w14:paraId="77C93890" w14:textId="77777777">
      <w:tc>
        <w:tcPr>
          <w:tcW w:w="4320" w:type="dxa"/>
        </w:tcPr>
        <w:p w:rsidR="009E5324" w:rsidRDefault="007A7EAC" w14:paraId="742098F3" w14:textId="77777777">
          <w:r>
            <w:rPr>
              <w:noProof/>
            </w:rPr>
            <w:drawing>
              <wp:inline distT="0" distB="0" distL="0" distR="0" wp14:anchorId="6075C011" wp14:editId="20563DB2">
                <wp:extent cx="914400" cy="475488"/>
                <wp:effectExtent l="0" t="0" r="0" b="0"/>
                <wp:docPr id="1360282412" name="Picture 1360282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914400" cy="475488"/>
                        </a:xfrm>
                        <a:prstGeom prst="rect">
                          <a:avLst/>
                        </a:prstGeom>
                      </pic:spPr>
                    </pic:pic>
                  </a:graphicData>
                </a:graphic>
              </wp:inline>
            </w:drawing>
          </w:r>
        </w:p>
      </w:tc>
      <w:tc>
        <w:tcPr>
          <w:tcW w:w="4320" w:type="dxa"/>
        </w:tcPr>
        <w:p w:rsidR="009E5324" w:rsidRDefault="007A7EAC" w14:paraId="2198A39B" w14:textId="77777777">
          <w:pPr>
            <w:jc w:val="right"/>
          </w:pPr>
          <w:r>
            <w:rPr>
              <w:noProof/>
            </w:rPr>
            <w:drawing>
              <wp:inline distT="0" distB="0" distL="0" distR="0" wp14:anchorId="27899043" wp14:editId="63700F76">
                <wp:extent cx="914400" cy="514350"/>
                <wp:effectExtent l="0" t="0" r="0" b="0"/>
                <wp:docPr id="1155593652" name="Picture 1155593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
                        <a:stretch>
                          <a:fillRect/>
                        </a:stretch>
                      </pic:blipFill>
                      <pic:spPr>
                        <a:xfrm>
                          <a:off x="0" y="0"/>
                          <a:ext cx="914400" cy="514350"/>
                        </a:xfrm>
                        <a:prstGeom prst="rect">
                          <a:avLst/>
                        </a:prstGeom>
                      </pic:spPr>
                    </pic:pic>
                  </a:graphicData>
                </a:graphic>
              </wp:inline>
            </w:drawing>
          </w:r>
        </w:p>
      </w:tc>
    </w:tr>
  </w:tbl>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CB7589A" w:rsidTr="5CB7589A" w14:paraId="2F3BB3C2">
      <w:trPr>
        <w:trHeight w:val="300"/>
      </w:trPr>
      <w:tc>
        <w:tcPr>
          <w:tcW w:w="2880" w:type="dxa"/>
          <w:tcMar/>
        </w:tcPr>
        <w:p w:rsidR="5CB7589A" w:rsidP="5CB7589A" w:rsidRDefault="5CB7589A" w14:paraId="4BD92209" w14:textId="72B5822C">
          <w:pPr>
            <w:pStyle w:val="Header"/>
            <w:bidi w:val="0"/>
            <w:ind w:left="-115"/>
            <w:jc w:val="left"/>
          </w:pPr>
        </w:p>
      </w:tc>
      <w:tc>
        <w:tcPr>
          <w:tcW w:w="2880" w:type="dxa"/>
          <w:tcMar/>
        </w:tcPr>
        <w:p w:rsidR="5CB7589A" w:rsidP="5CB7589A" w:rsidRDefault="5CB7589A" w14:paraId="2FCAC736" w14:textId="6B827907">
          <w:pPr>
            <w:pStyle w:val="Header"/>
            <w:bidi w:val="0"/>
            <w:jc w:val="center"/>
          </w:pPr>
        </w:p>
      </w:tc>
      <w:tc>
        <w:tcPr>
          <w:tcW w:w="2880" w:type="dxa"/>
          <w:tcMar/>
        </w:tcPr>
        <w:p w:rsidR="5CB7589A" w:rsidP="5CB7589A" w:rsidRDefault="5CB7589A" w14:paraId="69F6BA1E" w14:textId="5E0BEF76">
          <w:pPr>
            <w:pStyle w:val="Header"/>
            <w:bidi w:val="0"/>
            <w:ind w:right="-115"/>
            <w:jc w:val="right"/>
          </w:pPr>
        </w:p>
      </w:tc>
    </w:tr>
  </w:tbl>
  <w:p w:rsidR="5CB7589A" w:rsidP="5CB7589A" w:rsidRDefault="5CB7589A" w14:paraId="7D1F0899" w14:textId="632F82E4">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CB7589A" w:rsidTr="5CB7589A" w14:paraId="5890DC66">
      <w:trPr>
        <w:trHeight w:val="300"/>
      </w:trPr>
      <w:tc>
        <w:tcPr>
          <w:tcW w:w="2880" w:type="dxa"/>
          <w:tcMar/>
        </w:tcPr>
        <w:p w:rsidR="5CB7589A" w:rsidP="5CB7589A" w:rsidRDefault="5CB7589A" w14:paraId="69EC3C13" w14:textId="74CC098B">
          <w:pPr>
            <w:pStyle w:val="Header"/>
            <w:bidi w:val="0"/>
            <w:ind w:left="-115"/>
            <w:jc w:val="left"/>
          </w:pPr>
        </w:p>
      </w:tc>
      <w:tc>
        <w:tcPr>
          <w:tcW w:w="2880" w:type="dxa"/>
          <w:tcMar/>
        </w:tcPr>
        <w:p w:rsidR="5CB7589A" w:rsidP="5CB7589A" w:rsidRDefault="5CB7589A" w14:paraId="3D8E823C" w14:textId="5DD12E6E">
          <w:pPr>
            <w:pStyle w:val="Header"/>
            <w:bidi w:val="0"/>
            <w:jc w:val="center"/>
          </w:pPr>
        </w:p>
      </w:tc>
      <w:tc>
        <w:tcPr>
          <w:tcW w:w="2880" w:type="dxa"/>
          <w:tcMar/>
        </w:tcPr>
        <w:p w:rsidR="5CB7589A" w:rsidP="5CB7589A" w:rsidRDefault="5CB7589A" w14:paraId="2A173D77" w14:textId="143CB4E6">
          <w:pPr>
            <w:pStyle w:val="Header"/>
            <w:bidi w:val="0"/>
            <w:ind w:right="-115"/>
            <w:jc w:val="right"/>
          </w:pPr>
        </w:p>
      </w:tc>
    </w:tr>
  </w:tbl>
  <w:p w:rsidR="5CB7589A" w:rsidP="5CB7589A" w:rsidRDefault="5CB7589A" w14:paraId="4880236D" w14:textId="5CDC36FD">
    <w:pPr>
      <w:pStyle w:val="Header"/>
      <w:bidi w:val="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227451773" w:numId="1">
    <w:abstractNumId w:val="8"/>
  </w:num>
  <w:num w16cid:durableId="1716781665" w:numId="2">
    <w:abstractNumId w:val="6"/>
  </w:num>
  <w:num w16cid:durableId="1384525174" w:numId="3">
    <w:abstractNumId w:val="5"/>
  </w:num>
  <w:num w16cid:durableId="467623504" w:numId="4">
    <w:abstractNumId w:val="4"/>
  </w:num>
  <w:num w16cid:durableId="1210142271" w:numId="5">
    <w:abstractNumId w:val="7"/>
  </w:num>
  <w:num w16cid:durableId="1044018603" w:numId="6">
    <w:abstractNumId w:val="3"/>
  </w:num>
  <w:num w16cid:durableId="1330254052" w:numId="7">
    <w:abstractNumId w:val="2"/>
  </w:num>
  <w:num w16cid:durableId="730809848" w:numId="8">
    <w:abstractNumId w:val="1"/>
  </w:num>
  <w:num w16cid:durableId="1975283812" w:numId="9">
    <w:abstractNumId w:val="0"/>
  </w: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proofState w:grammar="dirty"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bidi="ar-SA"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u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u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u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u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u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u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u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u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u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u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u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u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u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u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u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u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u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u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u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u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u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Hyperlink" w:type="character">
    <w:name w:val="Hyperlink"/>
    <w:basedOn w:val="DefaultParagraphFont"/>
    <w:uiPriority w:val="99"/>
    <w:unhideWhenUsed/>
    <w:rsid w:val="00166F01"/>
    <w:rPr>
      <w:color w:themeColor="hyperlink" w:val="0000FF"/>
      <w:u w:val="single"/>
    </w:rPr>
  </w:style>
  <w:style w:styleId="UnresolvedMention" w:type="character">
    <w:name w:val="Unresolved Mention"/>
    <w:basedOn w:val="DefaultParagraphFont"/>
    <w:uiPriority w:val="99"/>
    <w:semiHidden/>
    <w:unhideWhenUsed/>
    <w:rsid w:val="00166F01"/>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header3.xml" Type="http://schemas.openxmlformats.org/officeDocument/2006/relationships/header" /><Relationship Id="rId12" Target="header4.xml" Type="http://schemas.openxmlformats.org/officeDocument/2006/relationships/header" /><Relationship Id="rId13" Target="footer1.xml" Type="http://schemas.openxmlformats.org/officeDocument/2006/relationships/footer" /><Relationship Id="rId14" Target="footer2.xml" Type="http://schemas.openxmlformats.org/officeDocument/2006/relationships/footer" /><Relationship Id="rId15" Target="footer3.xml" Type="http://schemas.openxmlformats.org/officeDocument/2006/relationships/footer" /><Relationship Id="rId16" Target="footer4.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2025-12-16T11:57:18Z</dcterms:created>
  <dcterms:modified xsi:type="dcterms:W3CDTF">2025-12-16T11:57:18Z</dcterms:modified>
</cp:coreProperties>
</file>

<file path=docProps/custom.xml><?xml version="1.0" encoding="utf-8"?>
<Properties xmlns="http://schemas.openxmlformats.org/officeDocument/2006/custom-properties" xmlns:vt="http://schemas.openxmlformats.org/officeDocument/2006/docPropsVTypes"/>
</file>