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integrationflow</w:t>
      </w:r>
    </w:p>
    <w:p>
      <w:pPr>
        <w:pStyle w:val="BodyText"/>
      </w:pPr>
    </w:p>
    <w:p>
      <w:pPr>
        <w:pStyle w:val="BodyText"/>
      </w:pPr>
      <w:r>
        <w:t xml:space="preserve"># Technical Specification Document for iFlow</w:t>
      </w:r>
      <w:r>
        <w:t xml:space="preserve"> </w:t>
      </w:r>
      <w:r>
        <w:t xml:space="preserve">‘</w:t>
      </w:r>
      <w:r>
        <w:t xml:space="preserve">integrationflow</w:t>
      </w:r>
      <w:r>
        <w:t xml:space="preserve">’</w:t>
      </w:r>
    </w:p>
    <w:bookmarkStart w:id="20" w:name="purpose"/>
    <w:p>
      <w:pPr>
        <w:pStyle w:val="Heading2"/>
      </w:pPr>
      <w:r>
        <w:t xml:space="preserve">1.1 Purpose</w:t>
      </w:r>
    </w:p>
    <w:p>
      <w:pPr>
        <w:pStyle w:val="FirstParagraph"/>
      </w:pPr>
      <w:r>
        <w:t xml:space="preserve">The purpose of the iFlow</w:t>
      </w:r>
      <w:r>
        <w:t xml:space="preserve"> </w:t>
      </w:r>
      <w:r>
        <w:t xml:space="preserve">‘</w:t>
      </w:r>
      <w:r>
        <w:t xml:space="preserve">integrationflow</w:t>
      </w:r>
      <w:r>
        <w:t xml:space="preserve">’</w:t>
      </w:r>
      <w:r>
        <w:t xml:space="preserve"> </w:t>
      </w:r>
      <w:r>
        <w:t xml:space="preserve">is to facilitate the seamless exchange of messages between a sender and a receiver within an integration process. The business problem addressed by this iFlow involves the need for reliable and efficient data transfer between disparate systems. The trigger for this integration flow is the initiation of a message from the sender, which is processed through the integration process and ultimately delivered to the receiver. The expected outcome is the successful transmission of data, ensuring that the receiver has the necessary information to proceed with its operations.</w:t>
      </w:r>
    </w:p>
    <w:bookmarkEnd w:id="20"/>
    <w:bookmarkStart w:id="25" w:name="scope"/>
    <w:p>
      <w:pPr>
        <w:pStyle w:val="Heading2"/>
      </w:pPr>
      <w:r>
        <w:t xml:space="preserve">1.2 Scope</w:t>
      </w:r>
    </w:p>
    <w:bookmarkStart w:id="21" w:name="inclusions"/>
    <w:p>
      <w:pPr>
        <w:pStyle w:val="Heading3"/>
      </w:pPr>
      <w:r>
        <w:t xml:space="preserve">Inclusions</w:t>
      </w:r>
    </w:p>
    <w:p>
      <w:pPr>
        <w:numPr>
          <w:ilvl w:val="0"/>
          <w:numId w:val="1001"/>
        </w:numPr>
        <w:pStyle w:val="Compact"/>
      </w:pPr>
      <w:r>
        <w:rPr>
          <w:bCs/>
          <w:b/>
        </w:rPr>
        <w:t xml:space="preserve">Endpoints</w:t>
      </w:r>
      <w:r>
        <w:t xml:space="preserve">: The iFlow includes a sender endpoint and a receiver endpoint.</w:t>
      </w:r>
    </w:p>
    <w:p>
      <w:pPr>
        <w:numPr>
          <w:ilvl w:val="0"/>
          <w:numId w:val="1001"/>
        </w:numPr>
        <w:pStyle w:val="Compact"/>
      </w:pPr>
      <w:r>
        <w:rPr>
          <w:bCs/>
          <w:b/>
        </w:rPr>
        <w:t xml:space="preserve">Transformations</w:t>
      </w:r>
      <w:r>
        <w:t xml:space="preserve">: The integration process may involve transformations of the incoming message format to match the requirements of the receiver.</w:t>
      </w:r>
    </w:p>
    <w:p>
      <w:pPr>
        <w:numPr>
          <w:ilvl w:val="0"/>
          <w:numId w:val="1001"/>
        </w:numPr>
        <w:pStyle w:val="Compact"/>
      </w:pPr>
      <w:r>
        <w:rPr>
          <w:bCs/>
          <w:b/>
        </w:rPr>
        <w:t xml:space="preserve">Logging</w:t>
      </w:r>
      <w:r>
        <w:t xml:space="preserve">: All events within the integration process are logged for monitoring and troubleshooting purposes.</w:t>
      </w:r>
    </w:p>
    <w:bookmarkEnd w:id="21"/>
    <w:bookmarkStart w:id="22" w:name="exclusions"/>
    <w:p>
      <w:pPr>
        <w:pStyle w:val="Heading3"/>
      </w:pPr>
      <w:r>
        <w:t xml:space="preserve">Exclusions</w:t>
      </w:r>
    </w:p>
    <w:p>
      <w:pPr>
        <w:numPr>
          <w:ilvl w:val="0"/>
          <w:numId w:val="1002"/>
        </w:numPr>
        <w:pStyle w:val="Compact"/>
      </w:pPr>
      <w:r>
        <w:rPr>
          <w:bCs/>
          <w:b/>
        </w:rPr>
        <w:t xml:space="preserve">Error Handling</w:t>
      </w:r>
      <w:r>
        <w:t xml:space="preserve">: Specific error handling mechanisms are not detailed in this document.</w:t>
      </w:r>
    </w:p>
    <w:p>
      <w:pPr>
        <w:numPr>
          <w:ilvl w:val="0"/>
          <w:numId w:val="1002"/>
        </w:numPr>
        <w:pStyle w:val="Compact"/>
      </w:pPr>
      <w:r>
        <w:rPr>
          <w:bCs/>
          <w:b/>
        </w:rPr>
        <w:t xml:space="preserve">Data Validation</w:t>
      </w:r>
      <w:r>
        <w:t xml:space="preserve">: The iFlow does not include explicit data validation steps.</w:t>
      </w:r>
    </w:p>
    <w:bookmarkEnd w:id="22"/>
    <w:bookmarkStart w:id="23" w:name="endpoints"/>
    <w:p>
      <w:pPr>
        <w:pStyle w:val="Heading3"/>
      </w:pPr>
      <w:r>
        <w:t xml:space="preserve">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Sender</w:t>
            </w:r>
          </w:p>
        </w:tc>
        <w:tc>
          <w:tcPr/>
          <w:p>
            <w:pPr>
              <w:pStyle w:val="Compact"/>
              <w:jc w:val="left"/>
            </w:pPr>
            <w:r>
              <w:t xml:space="preserve">Sender</w:t>
            </w:r>
          </w:p>
        </w:tc>
        <w:tc>
          <w:tcPr/>
          <w:p>
            <w:pPr>
              <w:pStyle w:val="Compact"/>
              <w:jc w:val="left"/>
            </w:pPr>
            <w:r>
              <w:t xml:space="preserve">Initiates the message flow</w:t>
            </w:r>
          </w:p>
        </w:tc>
      </w:tr>
      <w:tr>
        <w:tc>
          <w:tcPr/>
          <w:p>
            <w:pPr>
              <w:pStyle w:val="Compact"/>
              <w:jc w:val="left"/>
            </w:pPr>
            <w:r>
              <w:t xml:space="preserve">Receiver</w:t>
            </w:r>
          </w:p>
        </w:tc>
        <w:tc>
          <w:tcPr/>
          <w:p>
            <w:pPr>
              <w:pStyle w:val="Compact"/>
              <w:jc w:val="left"/>
            </w:pPr>
            <w:r>
              <w:t xml:space="preserve">Receiver</w:t>
            </w:r>
          </w:p>
        </w:tc>
        <w:tc>
          <w:tcPr/>
          <w:p>
            <w:pPr>
              <w:pStyle w:val="Compact"/>
              <w:jc w:val="left"/>
            </w:pPr>
            <w:r>
              <w:t xml:space="preserve">Receives the processed message</w:t>
            </w:r>
          </w:p>
        </w:tc>
      </w:tr>
    </w:tbl>
    <w:bookmarkEnd w:id="23"/>
    <w:bookmarkStart w:id="24" w:name="constraints"/>
    <w:p>
      <w:pPr>
        <w:pStyle w:val="Heading3"/>
      </w:pPr>
      <w:r>
        <w:t xml:space="preserve">Constraints</w:t>
      </w:r>
    </w:p>
    <w:p>
      <w:pPr>
        <w:numPr>
          <w:ilvl w:val="0"/>
          <w:numId w:val="1003"/>
        </w:numPr>
        <w:pStyle w:val="Compact"/>
      </w:pPr>
      <w:r>
        <w:rPr>
          <w:bCs/>
          <w:b/>
        </w:rPr>
        <w:t xml:space="preserve">Transaction Timeout</w:t>
      </w:r>
      <w:r>
        <w:t xml:space="preserve">: The integration process has a transaction timeout set to 30 seconds.</w:t>
      </w:r>
    </w:p>
    <w:p>
      <w:pPr>
        <w:numPr>
          <w:ilvl w:val="0"/>
          <w:numId w:val="1003"/>
        </w:numPr>
        <w:pStyle w:val="Compact"/>
      </w:pPr>
      <w:r>
        <w:rPr>
          <w:bCs/>
          <w:b/>
        </w:rPr>
        <w:t xml:space="preserve">Component Version</w:t>
      </w:r>
      <w:r>
        <w:t xml:space="preserve">: The iFlow is designed to operate with version 1.2 of the component.</w:t>
      </w:r>
    </w:p>
    <w:bookmarkEnd w:id="24"/>
    <w:bookmarkEnd w:id="25"/>
    <w:bookmarkStart w:id="30" w:name="integration-components"/>
    <w:p>
      <w:pPr>
        <w:pStyle w:val="Heading2"/>
      </w:pPr>
      <w:r>
        <w:t xml:space="preserve">2.1 Integration Components</w:t>
      </w:r>
    </w:p>
    <w:p>
      <w:pPr>
        <w:pStyle w:val="CaptionedFigure"/>
      </w:pPr>
      <w:r>
        <w:drawing>
          <wp:inline>
            <wp:extent cx="4775200" cy="5461000"/>
            <wp:effectExtent b="0" l="0" r="0" t="0"/>
            <wp:docPr descr="Integration Architecture" title="" id="27" name="Picture"/>
            <a:graphic>
              <a:graphicData uri="http://schemas.openxmlformats.org/drawingml/2006/picture">
                <pic:pic>
                  <pic:nvPicPr>
                    <pic:cNvPr descr="architecture.png" id="28" name="Picture"/>
                    <pic:cNvPicPr>
                      <a:picLocks noChangeArrowheads="1" noChangeAspect="1"/>
                    </pic:cNvPicPr>
                  </pic:nvPicPr>
                  <pic:blipFill>
                    <a:blip r:embed="rId26"/>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Integration Architecture</w:t>
      </w:r>
    </w:p>
    <w:bookmarkStart w:id="29" w:name="integration-components-1"/>
    <w:p>
      <w:pPr>
        <w:pStyle w:val="Heading3"/>
      </w:pPr>
      <w:r>
        <w:t xml:space="preserve">2.2 Integration Components</w:t>
      </w:r>
    </w:p>
    <w:tbl>
      <w:tblPr>
        <w:tblStyle w:val="Table"/>
        <w:tblW w:type="pct" w:w="5000"/>
        <w:tblLook w:firstRow="1" w:lastRow="0" w:firstColumn="0" w:lastColumn="0" w:noHBand="0" w:noVBand="0" w:val="0020"/>
        <w:jc w:val="start"/>
      </w:tblPr>
      <w:tblGrid>
        <w:gridCol w:w="1777"/>
        <w:gridCol w:w="1697"/>
        <w:gridCol w:w="4444"/>
      </w:tblGrid>
      <w:tr>
        <w:trPr>
          <w:tblHeader w:val="true"/>
        </w:trPr>
        <w:tc>
          <w:tcPr/>
          <w:p>
            <w:pPr>
              <w:pStyle w:val="Compact"/>
              <w:jc w:val="left"/>
            </w:pPr>
            <w:r>
              <w:t xml:space="preserve">Component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rPr>
                <w:bCs/>
                <w:b/>
              </w:rPr>
              <w:t xml:space="preserve">Adapter</w:t>
            </w:r>
          </w:p>
        </w:tc>
        <w:tc>
          <w:tcPr/>
          <w:p>
            <w:pPr>
              <w:pStyle w:val="Compact"/>
              <w:jc w:val="left"/>
            </w:pPr>
            <w:r>
              <w:t xml:space="preserve">EndpointSender</w:t>
            </w:r>
          </w:p>
        </w:tc>
        <w:tc>
          <w:tcPr/>
          <w:p>
            <w:pPr>
              <w:pStyle w:val="Compact"/>
              <w:jc w:val="left"/>
            </w:pPr>
            <w:r>
              <w:t xml:space="preserve">Sends messages to the integration process.</w:t>
            </w:r>
          </w:p>
        </w:tc>
      </w:tr>
      <w:tr>
        <w:tc>
          <w:tcPr/>
          <w:p>
            <w:pPr>
              <w:pStyle w:val="Compact"/>
              <w:jc w:val="left"/>
            </w:pPr>
            <w:r>
              <w:rPr>
                <w:bCs/>
                <w:b/>
              </w:rPr>
              <w:t xml:space="preserve">Adapter</w:t>
            </w:r>
          </w:p>
        </w:tc>
        <w:tc>
          <w:tcPr/>
          <w:p>
            <w:pPr>
              <w:pStyle w:val="Compact"/>
              <w:jc w:val="left"/>
            </w:pPr>
            <w:r>
              <w:t xml:space="preserve">EndpointReceiver</w:t>
            </w:r>
          </w:p>
        </w:tc>
        <w:tc>
          <w:tcPr/>
          <w:p>
            <w:pPr>
              <w:pStyle w:val="Compact"/>
              <w:jc w:val="left"/>
            </w:pPr>
            <w:r>
              <w:t xml:space="preserve">Receives messages from the integration process.</w:t>
            </w:r>
          </w:p>
        </w:tc>
      </w:tr>
      <w:tr>
        <w:tc>
          <w:tcPr/>
          <w:p>
            <w:pPr>
              <w:pStyle w:val="Compact"/>
              <w:jc w:val="left"/>
            </w:pPr>
            <w:r>
              <w:rPr>
                <w:bCs/>
                <w:b/>
              </w:rPr>
              <w:t xml:space="preserve">Script</w:t>
            </w:r>
          </w:p>
        </w:tc>
        <w:tc>
          <w:tcPr/>
          <w:p>
            <w:pPr>
              <w:pStyle w:val="Compact"/>
              <w:jc w:val="left"/>
            </w:pPr>
            <w:r>
              <w:t xml:space="preserve">Groovy Script</w:t>
            </w:r>
          </w:p>
        </w:tc>
        <w:tc>
          <w:tcPr/>
          <w:p>
            <w:pPr>
              <w:pStyle w:val="Compact"/>
              <w:jc w:val="left"/>
            </w:pPr>
            <w:r>
              <w:t xml:space="preserve">(Not specified in the provided XML, but typically used for transformations or custom logic)</w:t>
            </w:r>
          </w:p>
        </w:tc>
      </w:tr>
      <w:tr>
        <w:tc>
          <w:tcPr/>
          <w:p>
            <w:pPr>
              <w:pStyle w:val="Compact"/>
              <w:jc w:val="left"/>
            </w:pPr>
            <w:r>
              <w:rPr>
                <w:bCs/>
                <w:b/>
              </w:rPr>
              <w:t xml:space="preserve">Content Modifier</w:t>
            </w:r>
          </w:p>
        </w:tc>
        <w:tc>
          <w:tcPr/>
          <w:p>
            <w:pPr>
              <w:pStyle w:val="Compact"/>
              <w:jc w:val="left"/>
            </w:pPr>
            <w:r>
              <w:t xml:space="preserve">(Not specified)</w:t>
            </w:r>
          </w:p>
        </w:tc>
        <w:tc>
          <w:tcPr/>
          <w:p>
            <w:pPr>
              <w:pStyle w:val="Compact"/>
              <w:jc w:val="left"/>
            </w:pPr>
            <w:r>
              <w:t xml:space="preserve">(Not specified in the provided XML, but typically used for modifying message content)</w:t>
            </w:r>
          </w:p>
        </w:tc>
      </w:tr>
    </w:tbl>
    <w:bookmarkEnd w:id="29"/>
    <w:bookmarkEnd w:id="30"/>
    <w:bookmarkStart w:id="31" w:name="scenario-description"/>
    <w:p>
      <w:pPr>
        <w:pStyle w:val="Heading2"/>
      </w:pPr>
      <w:r>
        <w:t xml:space="preserve">3.1 Scenario Description</w:t>
      </w:r>
    </w:p>
    <w:p>
      <w:pPr>
        <w:numPr>
          <w:ilvl w:val="0"/>
          <w:numId w:val="1004"/>
        </w:numPr>
        <w:pStyle w:val="Compact"/>
      </w:pPr>
      <w:r>
        <w:rPr>
          <w:bCs/>
          <w:b/>
        </w:rPr>
        <w:t xml:space="preserve">Start Event</w:t>
      </w:r>
      <w:r>
        <w:t xml:space="preserve">: The integration flow is initiated by the sender, which triggers the start event.</w:t>
      </w:r>
    </w:p>
    <w:p>
      <w:pPr>
        <w:numPr>
          <w:ilvl w:val="0"/>
          <w:numId w:val="1004"/>
        </w:numPr>
        <w:pStyle w:val="Compact"/>
      </w:pPr>
      <w:r>
        <w:rPr>
          <w:bCs/>
          <w:b/>
        </w:rPr>
        <w:t xml:space="preserve">Message Transmission</w:t>
      </w:r>
      <w:r>
        <w:t xml:space="preserve">: The sender sends a message to the integration process.</w:t>
      </w:r>
    </w:p>
    <w:p>
      <w:pPr>
        <w:numPr>
          <w:ilvl w:val="0"/>
          <w:numId w:val="1004"/>
        </w:numPr>
        <w:pStyle w:val="Compact"/>
      </w:pPr>
      <w:r>
        <w:rPr>
          <w:bCs/>
          <w:b/>
        </w:rPr>
        <w:t xml:space="preserve">Integration Process</w:t>
      </w:r>
      <w:r>
        <w:t xml:space="preserve">: The message is processed within the integration process. This may involve transformations or other processing logic.</w:t>
      </w:r>
    </w:p>
    <w:p>
      <w:pPr>
        <w:numPr>
          <w:ilvl w:val="0"/>
          <w:numId w:val="1004"/>
        </w:numPr>
        <w:pStyle w:val="Compact"/>
      </w:pPr>
      <w:r>
        <w:rPr>
          <w:bCs/>
          <w:b/>
        </w:rPr>
        <w:t xml:space="preserve">End Event</w:t>
      </w:r>
      <w:r>
        <w:t xml:space="preserve">: Once processing is complete, the message is delivered to the receiver, which concludes the integration flow.</w:t>
      </w:r>
    </w:p>
    <w:p>
      <w:pPr>
        <w:numPr>
          <w:ilvl w:val="0"/>
          <w:numId w:val="1004"/>
        </w:numPr>
        <w:pStyle w:val="Compact"/>
      </w:pPr>
      <w:r>
        <w:rPr>
          <w:bCs/>
          <w:b/>
        </w:rPr>
        <w:t xml:space="preserve">Logging</w:t>
      </w:r>
      <w:r>
        <w:t xml:space="preserve">: Throughout the process, all events are logged for monitoring purposes.</w:t>
      </w:r>
    </w:p>
    <w:p>
      <w:pPr>
        <w:pStyle w:val="FirstParagraph"/>
      </w:pPr>
      <w:r>
        <w:t xml:space="preserve">This document serves as a comprehensive technical specification for the iFlow</w:t>
      </w:r>
      <w:r>
        <w:t xml:space="preserve"> </w:t>
      </w:r>
      <w:r>
        <w:t xml:space="preserve">‘</w:t>
      </w:r>
      <w:r>
        <w:t xml:space="preserve">integrationflow</w:t>
      </w:r>
      <w:r>
        <w:t xml:space="preserve">’</w:t>
      </w:r>
      <w:r>
        <w:t xml:space="preserve">, detailing its purpose, scope, integration components, and message lifecycle.</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2026-01-06T06:00:50Z</dcterms:created>
  <dcterms:modified xsi:type="dcterms:W3CDTF">2026-01-06T06:00:50Z</dcterms:modified>
</cp:coreProperties>
</file>

<file path=docProps/custom.xml><?xml version="1.0" encoding="utf-8"?>
<Properties xmlns="http://schemas.openxmlformats.org/officeDocument/2006/custom-properties" xmlns:vt="http://schemas.openxmlformats.org/officeDocument/2006/docPropsVTypes"/>
</file>