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864"/>
          <w:sz w:val="56"/>
        </w:rPr>
        <w:t>Email_Contents_to_PDF</w:t>
      </w:r>
    </w:p>
    <w:p>
      <w:pPr>
        <w:jc w:val="center"/>
      </w:pPr>
      <w:r>
        <w:t>Technical Specification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Author:</w:t>
            </w:r>
          </w:p>
        </w:tc>
        <w:tc>
          <w:tcPr>
            <w:tcW w:type="dxa" w:w="4320"/>
          </w:tcPr>
          <w:p>
            <w:r>
              <w:t>Akila710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2026-01-07</w:t>
            </w:r>
          </w:p>
        </w:tc>
      </w:tr>
      <w:tr>
        <w:tc>
          <w:tcPr>
            <w:tcW w:type="dxa" w:w="4320"/>
          </w:tcPr>
          <w:p>
            <w: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pPr>
        <w:ind w:left="432"/>
      </w:pPr>
      <w:r>
        <w:t xml:space="preserve">  1.1 Purpose</w:t>
      </w:r>
    </w:p>
    <w:p>
      <w:pPr>
        <w:ind w:left="432"/>
      </w:pPr>
      <w:r>
        <w:t xml:space="preserve">  1.2 Scope</w:t>
      </w:r>
    </w:p>
    <w:p>
      <w:r>
        <w:t>2. Integration Overview</w:t>
      </w:r>
    </w:p>
    <w:p>
      <w:pPr>
        <w:ind w:left="432"/>
      </w:pPr>
      <w:r>
        <w:t xml:space="preserve">  2.1 Integration Architecture</w:t>
      </w:r>
    </w:p>
    <w:p>
      <w:pPr>
        <w:ind w:left="432"/>
      </w:pPr>
      <w:r>
        <w:t xml:space="preserve">  2.2 Integration Components</w:t>
      </w:r>
    </w:p>
    <w:p>
      <w:r>
        <w:t>3. Integration Scenarios</w:t>
      </w:r>
    </w:p>
    <w:p>
      <w:pPr>
        <w:ind w:left="432"/>
      </w:pPr>
      <w:r>
        <w:t xml:space="preserve">  3.1 Scenario Description</w:t>
      </w:r>
    </w:p>
    <w:p>
      <w:pPr>
        <w:ind w:left="432"/>
      </w:pPr>
      <w:r>
        <w:t xml:space="preserve">  3.2 Data Flows</w:t>
      </w:r>
    </w:p>
    <w:p>
      <w:pPr>
        <w:ind w:left="432"/>
      </w:pPr>
      <w:r>
        <w:t xml:space="preserve">  3.3 Security Requirements</w:t>
      </w:r>
    </w:p>
    <w:p>
      <w:r>
        <w:t>4. Error Handling</w:t>
      </w:r>
    </w:p>
    <w:p>
      <w:r>
        <w:t>5. Testing Validation</w:t>
      </w:r>
    </w:p>
    <w:p>
      <w:r>
        <w:br w:type="page"/>
      </w:r>
    </w:p>
    <w:p>
      <w:pPr>
        <w:pStyle w:val="Heading1"/>
      </w:pPr>
      <w:r>
        <w:rPr>
          <w:color w:val="1F3864"/>
          <w:sz w:val="32"/>
        </w:rPr>
        <w:t>1. Introduction</w:t>
      </w:r>
    </w:p>
    <w:p>
      <w:pPr>
        <w:pStyle w:val="Heading2"/>
      </w:pPr>
      <w:r>
        <w:rPr>
          <w:color w:val="1F3864"/>
          <w:sz w:val="26"/>
        </w:rPr>
        <w:t>1.1 Purpose</w:t>
      </w:r>
    </w:p>
    <w:p/>
    <w:p>
      <w:pPr>
        <w:pStyle w:val="Heading2"/>
      </w:pPr>
      <w:r>
        <w:rPr>
          <w:color w:val="1F3864"/>
          <w:sz w:val="26"/>
        </w:rPr>
        <w:t>1.2 Scope</w:t>
      </w:r>
    </w:p>
    <w:p/>
    <w:p>
      <w:pPr>
        <w:pStyle w:val="Heading1"/>
      </w:pPr>
      <w:r>
        <w:rPr>
          <w:color w:val="1F3864"/>
          <w:sz w:val="32"/>
        </w:rPr>
        <w:t>2. Integration Overview</w:t>
      </w:r>
    </w:p>
    <w:p>
      <w:pPr>
        <w:pStyle w:val="Heading2"/>
      </w:pPr>
      <w:r>
        <w:rPr>
          <w:color w:val="1F3864"/>
          <w:sz w:val="26"/>
        </w:rPr>
        <w:t>2.1 Integration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512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12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3864"/>
          <w:sz w:val="26"/>
        </w:rPr>
        <w:t>2.2 Integration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Sender</w:t>
            </w:r>
          </w:p>
        </w:tc>
        <w:tc>
          <w:tcPr>
            <w:tcW w:type="dxa" w:w="4320"/>
          </w:tcPr>
          <w:p>
            <w:r>
              <w:t>** 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Sender Adapter</w:t>
            </w:r>
          </w:p>
        </w:tc>
        <w:tc>
          <w:tcPr>
            <w:tcW w:type="dxa" w:w="4320"/>
          </w:tcPr>
          <w:p>
            <w:r>
              <w:t>** 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Receiver</w:t>
            </w:r>
          </w:p>
        </w:tc>
        <w:tc>
          <w:tcPr>
            <w:tcW w:type="dxa" w:w="4320"/>
          </w:tcPr>
          <w:p>
            <w:r>
              <w:t>** 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Receiver Adapter</w:t>
            </w:r>
          </w:p>
        </w:tc>
        <w:tc>
          <w:tcPr>
            <w:tcW w:type="dxa" w:w="4320"/>
          </w:tcPr>
          <w:p>
            <w:r>
              <w:t>** N/A</w:t>
            </w:r>
          </w:p>
        </w:tc>
      </w:tr>
    </w:tbl>
    <w:p>
      <w:pPr>
        <w:pStyle w:val="Heading1"/>
      </w:pPr>
      <w:r>
        <w:rPr>
          <w:color w:val="1F3864"/>
          <w:sz w:val="32"/>
        </w:rPr>
        <w:t>3. Integration Scenarios</w:t>
      </w:r>
    </w:p>
    <w:p>
      <w:pPr>
        <w:pStyle w:val="Heading2"/>
      </w:pPr>
      <w:r>
        <w:rPr>
          <w:color w:val="1F3864"/>
          <w:sz w:val="26"/>
        </w:rPr>
        <w:t>3.1 Scenario Description</w:t>
      </w:r>
    </w:p>
    <w:p/>
    <w:p>
      <w:pPr>
        <w:pStyle w:val="Heading2"/>
      </w:pPr>
      <w:r>
        <w:rPr>
          <w:color w:val="1F3864"/>
          <w:sz w:val="26"/>
        </w:rPr>
        <w:t>3.2 Data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 Field</w:t>
            </w:r>
          </w:p>
        </w:tc>
        <w:tc>
          <w:tcPr>
            <w:tcW w:type="dxa" w:w="2880"/>
          </w:tcPr>
          <w:p>
            <w:r>
              <w:t>Target Field</w:t>
            </w:r>
          </w:p>
        </w:tc>
        <w:tc>
          <w:tcPr>
            <w:tcW w:type="dxa" w:w="2880"/>
          </w:tcPr>
          <w:p>
            <w:r>
              <w:t>Logic</w:t>
            </w:r>
          </w:p>
        </w:tc>
      </w:tr>
    </w:tbl>
    <w:p>
      <w:pPr>
        <w:pStyle w:val="Heading2"/>
      </w:pPr>
      <w:r>
        <w:rPr>
          <w:color w:val="1F3864"/>
          <w:sz w:val="26"/>
        </w:rPr>
        <w:t>3.3 Security Requirements</w:t>
      </w:r>
    </w:p>
    <w:p/>
    <w:p>
      <w:pPr>
        <w:pStyle w:val="Heading1"/>
      </w:pPr>
      <w:r>
        <w:rPr>
          <w:color w:val="1F3864"/>
          <w:sz w:val="32"/>
        </w:rPr>
        <w:t>4. Error Handling</w:t>
      </w:r>
    </w:p>
    <w:p/>
    <w:p>
      <w:pPr>
        <w:pStyle w:val="Heading1"/>
      </w:pPr>
      <w:r>
        <w:rPr>
          <w:color w:val="1F3864"/>
          <w:sz w:val="32"/>
        </w:rPr>
        <w:t>5. Testing Validation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drawing>
              <wp:inline xmlns:a="http://schemas.openxmlformats.org/drawingml/2006/main" xmlns:pic="http://schemas.openxmlformats.org/drawingml/2006/picture">
                <wp:extent cx="548640" cy="5486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ap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" cy="5486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548640" cy="5486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m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" cy="5486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