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r>
        <w:t xml:space="preserve">integrationflow</w:t>
      </w:r>
    </w:p>
    <w:p>
      <w:pPr>
        <w:pStyle w:val="BodyText"/>
      </w:pPr>
    </w:p>
    <w:p>
      <w:pPr>
        <w:pStyle w:val="BodyText"/>
      </w:pPr>
      <w:r>
        <w:t xml:space="preserve"># Technical Specification Document for iFlow</w:t>
      </w:r>
      <w:r>
        <w:t xml:space="preserve"> </w:t>
      </w:r>
      <w:r>
        <w:t xml:space="preserve">‘</w:t>
      </w:r>
      <w:r>
        <w:t xml:space="preserve">integrationflow</w:t>
      </w:r>
      <w:r>
        <w:t xml:space="preserve">’</w:t>
      </w:r>
    </w:p>
    <w:bookmarkStart w:id="20" w:name="purpose"/>
    <w:p>
      <w:pPr>
        <w:pStyle w:val="Heading2"/>
      </w:pPr>
      <w:r>
        <w:t xml:space="preserve">1.1 Purpose</w:t>
      </w:r>
    </w:p>
    <w:p>
      <w:pPr>
        <w:pStyle w:val="FirstParagraph"/>
      </w:pPr>
      <w:r>
        <w:t xml:space="preserve">The purpose of the iFlow</w:t>
      </w:r>
      <w:r>
        <w:t xml:space="preserve"> </w:t>
      </w:r>
      <w:r>
        <w:t xml:space="preserve">‘</w:t>
      </w:r>
      <w:r>
        <w:t xml:space="preserve">integrationflow</w:t>
      </w:r>
      <w:r>
        <w:t xml:space="preserve">’</w:t>
      </w:r>
      <w:r>
        <w:t xml:space="preserve"> </w:t>
      </w:r>
      <w:r>
        <w:t xml:space="preserve">is to facilitate the seamless exchange of messages between a sender and a receiver within an integration process. This integration flow is triggered by a start event, which initiates the message processing. The primary business problem addressed by this flow is the need for efficient and reliable data transfer between disparate systems, ensuring that messages are processed and delivered without loss or delay.</w:t>
      </w:r>
    </w:p>
    <w:p>
      <w:pPr>
        <w:pStyle w:val="BodyText"/>
      </w:pPr>
      <w:r>
        <w:t xml:space="preserve">The expected outcome of this integration flow is the successful transmission of messages from the sender to the receiver, with appropriate logging and error handling mechanisms in place. The flow is designed to handle various scenarios, including successful message delivery and potential exceptions, ensuring that the business processes relying on this integration can operate smoothly.</w:t>
      </w:r>
    </w:p>
    <w:bookmarkEnd w:id="20"/>
    <w:bookmarkStart w:id="25" w:name="scope"/>
    <w:p>
      <w:pPr>
        <w:pStyle w:val="Heading2"/>
      </w:pPr>
      <w:r>
        <w:t xml:space="preserve">1.2 Scope</w:t>
      </w:r>
    </w:p>
    <w:bookmarkStart w:id="21" w:name="inclusions"/>
    <w:p>
      <w:pPr>
        <w:pStyle w:val="Heading3"/>
      </w:pPr>
      <w:r>
        <w:t xml:space="preserve">Inclusions</w:t>
      </w:r>
    </w:p>
    <w:p>
      <w:pPr>
        <w:numPr>
          <w:ilvl w:val="0"/>
          <w:numId w:val="1001"/>
        </w:numPr>
        <w:pStyle w:val="Compact"/>
      </w:pPr>
      <w:r>
        <w:rPr>
          <w:bCs/>
          <w:b/>
        </w:rPr>
        <w:t xml:space="preserve">Endpoints</w:t>
      </w:r>
      <w:r>
        <w:t xml:space="preserve">: The integration flow includes a sender endpoint and a receiver endpoint.</w:t>
      </w:r>
    </w:p>
    <w:p>
      <w:pPr>
        <w:numPr>
          <w:ilvl w:val="0"/>
          <w:numId w:val="1001"/>
        </w:numPr>
        <w:pStyle w:val="Compact"/>
      </w:pPr>
      <w:r>
        <w:rPr>
          <w:bCs/>
          <w:b/>
        </w:rPr>
        <w:t xml:space="preserve">Transformations</w:t>
      </w:r>
      <w:r>
        <w:t xml:space="preserve">: The flow may include transformations to convert data formats as required by the sender and receiver.</w:t>
      </w:r>
    </w:p>
    <w:p>
      <w:pPr>
        <w:numPr>
          <w:ilvl w:val="0"/>
          <w:numId w:val="1001"/>
        </w:numPr>
        <w:pStyle w:val="Compact"/>
      </w:pPr>
      <w:r>
        <w:rPr>
          <w:bCs/>
          <w:b/>
        </w:rPr>
        <w:t xml:space="preserve">Logging</w:t>
      </w:r>
      <w:r>
        <w:t xml:space="preserve">: All events within the flow are logged for monitoring and troubleshooting purposes.</w:t>
      </w:r>
    </w:p>
    <w:bookmarkEnd w:id="21"/>
    <w:bookmarkStart w:id="22" w:name="exclusions"/>
    <w:p>
      <w:pPr>
        <w:pStyle w:val="Heading3"/>
      </w:pPr>
      <w:r>
        <w:t xml:space="preserve">Exclusions</w:t>
      </w:r>
    </w:p>
    <w:p>
      <w:pPr>
        <w:numPr>
          <w:ilvl w:val="0"/>
          <w:numId w:val="1002"/>
        </w:numPr>
        <w:pStyle w:val="Compact"/>
      </w:pPr>
      <w:r>
        <w:t xml:space="preserve">The flow does not include complex error handling beyond basic logging.</w:t>
      </w:r>
    </w:p>
    <w:p>
      <w:pPr>
        <w:numPr>
          <w:ilvl w:val="0"/>
          <w:numId w:val="1002"/>
        </w:numPr>
        <w:pStyle w:val="Compact"/>
      </w:pPr>
      <w:r>
        <w:t xml:space="preserve">No data enrichment or validation processes are included in this flow.</w:t>
      </w:r>
    </w:p>
    <w:bookmarkEnd w:id="22"/>
    <w:bookmarkStart w:id="23" w:name="endpoints"/>
    <w:p>
      <w:pPr>
        <w:pStyle w:val="Heading3"/>
      </w:pPr>
      <w:r>
        <w:t xml:space="preserve">Endpoints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 Type</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Sender</w:t>
            </w:r>
          </w:p>
        </w:tc>
        <w:tc>
          <w:tcPr/>
          <w:p>
            <w:pPr>
              <w:pStyle w:val="Compact"/>
              <w:jc w:val="left"/>
            </w:pPr>
            <w:r>
              <w:t xml:space="preserve">Sender</w:t>
            </w:r>
          </w:p>
        </w:tc>
        <w:tc>
          <w:tcPr/>
          <w:p>
            <w:pPr>
              <w:pStyle w:val="Compact"/>
              <w:jc w:val="left"/>
            </w:pPr>
            <w:r>
              <w:t xml:space="preserve">Initiates the message transmission</w:t>
            </w:r>
          </w:p>
        </w:tc>
      </w:tr>
      <w:tr>
        <w:tc>
          <w:tcPr/>
          <w:p>
            <w:pPr>
              <w:pStyle w:val="Compact"/>
              <w:jc w:val="left"/>
            </w:pPr>
            <w:r>
              <w:t xml:space="preserve">Receiver</w:t>
            </w:r>
          </w:p>
        </w:tc>
        <w:tc>
          <w:tcPr/>
          <w:p>
            <w:pPr>
              <w:pStyle w:val="Compact"/>
              <w:jc w:val="left"/>
            </w:pPr>
            <w:r>
              <w:t xml:space="preserve">Receiver</w:t>
            </w:r>
          </w:p>
        </w:tc>
        <w:tc>
          <w:tcPr/>
          <w:p>
            <w:pPr>
              <w:pStyle w:val="Compact"/>
              <w:jc w:val="left"/>
            </w:pPr>
            <w:r>
              <w:t xml:space="preserve">Receives the message</w:t>
            </w:r>
          </w:p>
        </w:tc>
      </w:tr>
    </w:tbl>
    <w:bookmarkEnd w:id="23"/>
    <w:bookmarkStart w:id="24" w:name="constraints"/>
    <w:p>
      <w:pPr>
        <w:pStyle w:val="Heading3"/>
      </w:pPr>
      <w:r>
        <w:t xml:space="preserve">Constraints</w:t>
      </w:r>
    </w:p>
    <w:p>
      <w:pPr>
        <w:numPr>
          <w:ilvl w:val="0"/>
          <w:numId w:val="1003"/>
        </w:numPr>
        <w:pStyle w:val="Compact"/>
      </w:pPr>
      <w:r>
        <w:t xml:space="preserve">The flow has a transaction timeout of 30 seconds.</w:t>
      </w:r>
    </w:p>
    <w:p>
      <w:pPr>
        <w:numPr>
          <w:ilvl w:val="0"/>
          <w:numId w:val="1003"/>
        </w:numPr>
        <w:pStyle w:val="Compact"/>
      </w:pPr>
      <w:r>
        <w:t xml:space="preserve">Basic authentication is not enabled for the sender endpoint.</w:t>
      </w:r>
    </w:p>
    <w:p>
      <w:pPr>
        <w:numPr>
          <w:ilvl w:val="0"/>
          <w:numId w:val="1003"/>
        </w:numPr>
        <w:pStyle w:val="Compact"/>
      </w:pPr>
      <w:r>
        <w:t xml:space="preserve">CORS is disabled, and no specific headers or methods are allowed.</w:t>
      </w:r>
    </w:p>
    <w:bookmarkEnd w:id="24"/>
    <w:bookmarkEnd w:id="25"/>
    <w:bookmarkStart w:id="30" w:name="integration-components"/>
    <w:p>
      <w:pPr>
        <w:pStyle w:val="Heading2"/>
      </w:pPr>
      <w:r>
        <w:t xml:space="preserve">2.1 Integration Components</w:t>
      </w:r>
    </w:p>
    <w:p>
      <w:pPr>
        <w:pStyle w:val="CaptionedFigure"/>
      </w:pPr>
      <w:r>
        <w:drawing>
          <wp:inline>
            <wp:extent cx="4737100" cy="3530600"/>
            <wp:effectExtent b="0" l="0" r="0" t="0"/>
            <wp:docPr descr="Integration Architecture" title="" id="27" name="Picture"/>
            <a:graphic>
              <a:graphicData uri="http://schemas.openxmlformats.org/drawingml/2006/picture">
                <pic:pic>
                  <pic:nvPicPr>
                    <pic:cNvPr descr="architecture.png" id="28" name="Picture"/>
                    <pic:cNvPicPr>
                      <a:picLocks noChangeArrowheads="1" noChangeAspect="1"/>
                    </pic:cNvPicPr>
                  </pic:nvPicPr>
                  <pic:blipFill>
                    <a:blip r:embed="rId26"/>
                    <a:stretch>
                      <a:fillRect/>
                    </a:stretch>
                  </pic:blipFill>
                  <pic:spPr bwMode="auto">
                    <a:xfrm>
                      <a:off x="0" y="0"/>
                      <a:ext cx="4737100" cy="3530600"/>
                    </a:xfrm>
                    <a:prstGeom prst="rect">
                      <a:avLst/>
                    </a:prstGeom>
                    <a:noFill/>
                    <a:ln w="9525">
                      <a:noFill/>
                      <a:headEnd/>
                      <a:tailEnd/>
                    </a:ln>
                  </pic:spPr>
                </pic:pic>
              </a:graphicData>
            </a:graphic>
          </wp:inline>
        </w:drawing>
      </w:r>
    </w:p>
    <w:p>
      <w:pPr>
        <w:pStyle w:val="ImageCaption"/>
      </w:pPr>
      <w:r>
        <w:t xml:space="preserve">Integration Architecture</w:t>
      </w:r>
    </w:p>
    <w:bookmarkStart w:id="29" w:name="integration-components-1"/>
    <w:p>
      <w:pPr>
        <w:pStyle w:val="Heading3"/>
      </w:pPr>
      <w:r>
        <w:t xml:space="preserve">2.2 Integration Components</w:t>
      </w:r>
    </w:p>
    <w:tbl>
      <w:tblPr>
        <w:tblStyle w:val="Table"/>
        <w:tblW w:type="pct" w:w="5000"/>
        <w:tblLook w:firstRow="1" w:lastRow="0" w:firstColumn="0" w:lastColumn="0" w:noHBand="0" w:noVBand="0" w:val="0020"/>
        <w:jc w:val="start"/>
      </w:tblPr>
      <w:tblGrid>
        <w:gridCol w:w="1452"/>
        <w:gridCol w:w="1386"/>
        <w:gridCol w:w="5082"/>
      </w:tblGrid>
      <w:tr>
        <w:trPr>
          <w:tblHeader w:val="true"/>
        </w:trPr>
        <w:tc>
          <w:tcPr/>
          <w:p>
            <w:pPr>
              <w:pStyle w:val="Compact"/>
              <w:jc w:val="left"/>
            </w:pPr>
            <w:r>
              <w:t xml:space="preserve">Component Type</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Start Event</w:t>
            </w:r>
          </w:p>
        </w:tc>
        <w:tc>
          <w:tcPr/>
          <w:p>
            <w:pPr>
              <w:pStyle w:val="Compact"/>
              <w:jc w:val="left"/>
            </w:pPr>
            <w:r>
              <w:t xml:space="preserve">StartEvent_2</w:t>
            </w:r>
          </w:p>
        </w:tc>
        <w:tc>
          <w:tcPr/>
          <w:p>
            <w:pPr>
              <w:pStyle w:val="Compact"/>
              <w:jc w:val="left"/>
            </w:pPr>
            <w:r>
              <w:t xml:space="preserve">Initiates the integration flow.</w:t>
            </w:r>
          </w:p>
        </w:tc>
      </w:tr>
      <w:tr>
        <w:tc>
          <w:tcPr/>
          <w:p>
            <w:pPr>
              <w:pStyle w:val="Compact"/>
              <w:jc w:val="left"/>
            </w:pPr>
            <w:r>
              <w:t xml:space="preserve">End Event</w:t>
            </w:r>
          </w:p>
        </w:tc>
        <w:tc>
          <w:tcPr/>
          <w:p>
            <w:pPr>
              <w:pStyle w:val="Compact"/>
              <w:jc w:val="left"/>
            </w:pPr>
            <w:r>
              <w:t xml:space="preserve">EndEvent_2</w:t>
            </w:r>
          </w:p>
        </w:tc>
        <w:tc>
          <w:tcPr/>
          <w:p>
            <w:pPr>
              <w:pStyle w:val="Compact"/>
              <w:jc w:val="left"/>
            </w:pPr>
            <w:r>
              <w:t xml:space="preserve">Marks the completion of the integration flow.</w:t>
            </w:r>
          </w:p>
        </w:tc>
      </w:tr>
      <w:tr>
        <w:tc>
          <w:tcPr/>
          <w:p>
            <w:pPr>
              <w:pStyle w:val="Compact"/>
              <w:jc w:val="left"/>
            </w:pPr>
            <w:r>
              <w:t xml:space="preserve">Sequence Flow</w:t>
            </w:r>
          </w:p>
        </w:tc>
        <w:tc>
          <w:tcPr/>
          <w:p>
            <w:pPr>
              <w:pStyle w:val="Compact"/>
              <w:jc w:val="left"/>
            </w:pPr>
            <w:r>
              <w:t xml:space="preserve">SequenceFlow_3</w:t>
            </w:r>
          </w:p>
        </w:tc>
        <w:tc>
          <w:tcPr/>
          <w:p>
            <w:pPr>
              <w:pStyle w:val="Compact"/>
              <w:jc w:val="left"/>
            </w:pPr>
            <w:r>
              <w:t xml:space="preserve">Connects the start event to the end event, defining the message lifecycle.</w:t>
            </w:r>
          </w:p>
        </w:tc>
      </w:tr>
      <w:tr>
        <w:tc>
          <w:tcPr/>
          <w:p>
            <w:pPr>
              <w:pStyle w:val="Compact"/>
              <w:jc w:val="left"/>
            </w:pPr>
            <w:r>
              <w:t xml:space="preserve">Participant</w:t>
            </w:r>
          </w:p>
        </w:tc>
        <w:tc>
          <w:tcPr/>
          <w:p>
            <w:pPr>
              <w:pStyle w:val="Compact"/>
              <w:jc w:val="left"/>
            </w:pPr>
            <w:r>
              <w:t xml:space="preserve">Sender</w:t>
            </w:r>
          </w:p>
        </w:tc>
        <w:tc>
          <w:tcPr/>
          <w:p>
            <w:pPr>
              <w:pStyle w:val="Compact"/>
              <w:jc w:val="left"/>
            </w:pPr>
            <w:r>
              <w:t xml:space="preserve">Represents the sender endpoint in the integration flow.</w:t>
            </w:r>
          </w:p>
        </w:tc>
      </w:tr>
      <w:tr>
        <w:tc>
          <w:tcPr/>
          <w:p>
            <w:pPr>
              <w:pStyle w:val="Compact"/>
              <w:jc w:val="left"/>
            </w:pPr>
            <w:r>
              <w:t xml:space="preserve">Participant</w:t>
            </w:r>
          </w:p>
        </w:tc>
        <w:tc>
          <w:tcPr/>
          <w:p>
            <w:pPr>
              <w:pStyle w:val="Compact"/>
              <w:jc w:val="left"/>
            </w:pPr>
            <w:r>
              <w:t xml:space="preserve">Receiver</w:t>
            </w:r>
          </w:p>
        </w:tc>
        <w:tc>
          <w:tcPr/>
          <w:p>
            <w:pPr>
              <w:pStyle w:val="Compact"/>
              <w:jc w:val="left"/>
            </w:pPr>
            <w:r>
              <w:t xml:space="preserve">Represents the receiver endpoint in the integration flow.</w:t>
            </w:r>
          </w:p>
        </w:tc>
      </w:tr>
      <w:tr>
        <w:tc>
          <w:tcPr/>
          <w:p>
            <w:pPr>
              <w:pStyle w:val="Compact"/>
              <w:jc w:val="left"/>
            </w:pPr>
            <w:r>
              <w:t xml:space="preserve">Integration Process</w:t>
            </w:r>
          </w:p>
        </w:tc>
        <w:tc>
          <w:tcPr/>
          <w:p>
            <w:pPr>
              <w:pStyle w:val="Compact"/>
              <w:jc w:val="left"/>
            </w:pPr>
            <w:r>
              <w:t xml:space="preserve">Integration Process</w:t>
            </w:r>
          </w:p>
        </w:tc>
        <w:tc>
          <w:tcPr/>
          <w:p>
            <w:pPr>
              <w:pStyle w:val="Compact"/>
              <w:jc w:val="left"/>
            </w:pPr>
            <w:r>
              <w:t xml:space="preserve">The main process that handles the message flow between sender and receiver.</w:t>
            </w:r>
          </w:p>
        </w:tc>
      </w:tr>
    </w:tbl>
    <w:bookmarkEnd w:id="29"/>
    <w:bookmarkEnd w:id="30"/>
    <w:bookmarkStart w:id="31" w:name="scenario-description"/>
    <w:p>
      <w:pPr>
        <w:pStyle w:val="Heading2"/>
      </w:pPr>
      <w:r>
        <w:t xml:space="preserve">3.1 Scenario Description</w:t>
      </w:r>
    </w:p>
    <w:p>
      <w:pPr>
        <w:numPr>
          <w:ilvl w:val="0"/>
          <w:numId w:val="1004"/>
        </w:numPr>
        <w:pStyle w:val="Compact"/>
      </w:pPr>
      <w:r>
        <w:rPr>
          <w:bCs/>
          <w:b/>
        </w:rPr>
        <w:t xml:space="preserve">Start Event Trigger</w:t>
      </w:r>
      <w:r>
        <w:t xml:space="preserve">: The integration flow is triggered by the StartEvent_2, which signifies the beginning of the message processing.</w:t>
      </w:r>
    </w:p>
    <w:p>
      <w:pPr>
        <w:numPr>
          <w:ilvl w:val="0"/>
          <w:numId w:val="1004"/>
        </w:numPr>
        <w:pStyle w:val="Compact"/>
      </w:pPr>
      <w:r>
        <w:rPr>
          <w:bCs/>
          <w:b/>
        </w:rPr>
        <w:t xml:space="preserve">Message Processing</w:t>
      </w:r>
      <w:r>
        <w:t xml:space="preserve">: The message is processed within the Integration Process. This may involve transformations or routing based on predefined logic (not detailed in this flow).</w:t>
      </w:r>
    </w:p>
    <w:p>
      <w:pPr>
        <w:numPr>
          <w:ilvl w:val="0"/>
          <w:numId w:val="1004"/>
        </w:numPr>
        <w:pStyle w:val="Compact"/>
      </w:pPr>
      <w:r>
        <w:rPr>
          <w:bCs/>
          <w:b/>
        </w:rPr>
        <w:t xml:space="preserve">End Event</w:t>
      </w:r>
      <w:r>
        <w:t xml:space="preserve">: Upon successful processing, the flow reaches the EndEvent_2, indicating that the message has been successfully handled.</w:t>
      </w:r>
    </w:p>
    <w:p>
      <w:pPr>
        <w:numPr>
          <w:ilvl w:val="0"/>
          <w:numId w:val="1004"/>
        </w:numPr>
        <w:pStyle w:val="Compact"/>
      </w:pPr>
      <w:r>
        <w:rPr>
          <w:bCs/>
          <w:b/>
        </w:rPr>
        <w:t xml:space="preserve">Logging</w:t>
      </w:r>
      <w:r>
        <w:t xml:space="preserve">: Throughout the process, all events are logged as per the logging configuration, allowing for monitoring and troubleshooting.</w:t>
      </w:r>
    </w:p>
    <w:p>
      <w:pPr>
        <w:pStyle w:val="FirstParagraph"/>
      </w:pPr>
      <w:r>
        <w:t xml:space="preserve">This document provides a comprehensive overview of the iFlow</w:t>
      </w:r>
      <w:r>
        <w:t xml:space="preserve"> </w:t>
      </w:r>
      <w:r>
        <w:t xml:space="preserve">‘</w:t>
      </w:r>
      <w:r>
        <w:t xml:space="preserve">integrationflow</w:t>
      </w:r>
      <w:r>
        <w:t xml:space="preserve">’</w:t>
      </w:r>
      <w:r>
        <w:t xml:space="preserve">, detailing its purpose, scope, integration components, and message lifecycle.</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2026-01-05T10:12:34Z</dcterms:created>
  <dcterms:modified xsi:type="dcterms:W3CDTF">2026-01-05T10:12:34Z</dcterms:modified>
</cp:coreProperties>
</file>

<file path=docProps/custom.xml><?xml version="1.0" encoding="utf-8"?>
<Properties xmlns="http://schemas.openxmlformats.org/officeDocument/2006/custom-properties" xmlns:vt="http://schemas.openxmlformats.org/officeDocument/2006/docPropsVTypes"/>
</file>