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iflow1</w:t>
      </w:r>
    </w:p>
    <w:p>
      <w:pPr>
        <w:jc w:val="center"/>
      </w:pPr>
      <w:r>
        <w:t>Technical Specification Document</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Akila710</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t>Functional &amp; Technical Overview</w:t>
      </w:r>
    </w:p>
    <w:p>
      <w:r>
        <w:t># Technical Documentation for CPI iFlow: iflow1</w:t>
        <w:br/>
        <w:br/>
        <w:t>## Overview</w:t>
        <w:br/>
        <w:br/>
        <w:t>This document provides a detailed description of the `iflow1` integration flow (iFlow) in the SAP Cloud Platform Integration (CPI). `iflow1` is designed to facilitate the data exchange between two systems, ensuring seamless integration and data transformation as required by business processes.</w:t>
        <w:br/>
        <w:br/>
        <w:t>### Purpose</w:t>
        <w:br/>
        <w:br/>
        <w:t>The primary purpose of `iflow1` is to consume data from a source system, process it, and subsequently send the transformed data to a target system. This iFlow is particularly useful for scenarios where data needs to be synchronized or transformed to meet specific business requirements.</w:t>
        <w:br/>
        <w:br/>
        <w:t>## Components</w:t>
        <w:br/>
        <w:br/>
        <w:t>### 1. **Source System**</w:t>
        <w:br/>
        <w:t xml:space="preserve">   - This component represents the originating data source from which `iflow1` will receive data. It can be an SAP or non-SAP system configured to send messages in a specific format (JSON, XML, etc.).</w:t>
        <w:br/>
        <w:br/>
        <w:t>### 2. **Message Mapping**</w:t>
        <w:br/>
        <w:t xml:space="preserve">   - The transformation of the incoming data format to the desired output format occurs here. This component uses a mapping tool or custom mapping logic to ensure the fields are accurately transformed.</w:t>
        <w:br/>
        <w:br/>
        <w:t>### 3. **Target System**</w:t>
        <w:br/>
        <w:t xml:space="preserve">   - This component is the endpoint where the transformed data will be sent. Similar to the source system, it can vary depending on the business requirement and can include various types of systems.</w:t>
        <w:br/>
        <w:br/>
        <w:t>### 4. **Error Handling**</w:t>
        <w:br/>
        <w:t xml:space="preserve">   - Comprehensive error handling mechanisms are in place to capture any errors that occur within the iFlow. This component ensures that any failures are logged and managed, enabling easy troubleshooting.</w:t>
        <w:br/>
        <w:br/>
        <w:t>## Flow Description</w:t>
        <w:br/>
        <w:br/>
        <w:t>### Steps:</w:t>
        <w:br/>
        <w:br/>
        <w:t>1. **Data Ingestion**</w:t>
        <w:br/>
        <w:t xml:space="preserve">   - `iflow1` listens for incoming messages from the source system using an endpoint (API, SFTP, etc.).</w:t>
        <w:br/>
        <w:t xml:space="preserve">   </w:t>
        <w:br/>
        <w:t>2. **Data Validation**</w:t>
        <w:br/>
        <w:t xml:space="preserve">   - Upon receiving a message, the flow first validates the incoming data against predefined rules to ensure data integrity.</w:t>
        <w:br/>
        <w:t xml:space="preserve">   </w:t>
        <w:br/>
        <w:t>3. **Message Transformation**</w:t>
        <w:br/>
        <w:t xml:space="preserve">   - The valid message is then passed to the message mapping component, where it is transformed into the required format compatible with the target system.</w:t>
        <w:br/>
        <w:t xml:space="preserve">   </w:t>
        <w:br/>
        <w:t>4. **Data Delivery**</w:t>
        <w:br/>
        <w:t xml:space="preserve">   - Once transformed, the message is sent to the target system using the configured connection settings.</w:t>
        <w:br/>
        <w:t xml:space="preserve">   </w:t>
        <w:br/>
        <w:t>5. **Logging and Monitoring**</w:t>
        <w:br/>
        <w:t xml:space="preserve">   - Each step of the process is logged for monitoring purposes. Error notifications are sent in case of failures during any step.</w:t>
        <w:br/>
        <w:br/>
        <w:t xml:space="preserve">## Technical Details </w:t>
        <w:br/>
        <w:br/>
        <w:t>### IDoc Configuration</w:t>
        <w:br/>
        <w:t>- **Source System:** (e.g., SAP ECC)</w:t>
        <w:br/>
        <w:t>- **Message Type:** Z_MESSAGE_TYPE</w:t>
        <w:br/>
        <w:t>- **Segment Type:** Z_SEGMENT_TYPE</w:t>
        <w:br/>
        <w:t xml:space="preserve">  </w:t>
        <w:br/>
        <w:t>### HTTP Connection Details for Target System</w:t>
        <w:br/>
        <w:t>- **Endpoint URL:** `https://target-system.com/api/v1/resource`</w:t>
        <w:br/>
        <w:t>- **Authentication:** OAuth2</w:t>
        <w:br/>
        <w:t>- **Headers:**</w:t>
        <w:br/>
        <w:t xml:space="preserve">   - Content-Type: application/json</w:t>
        <w:br/>
        <w:t xml:space="preserve">   - Accept: application/json</w:t>
        <w:br/>
        <w:br/>
        <w:t>### Mapping Specification</w:t>
        <w:br/>
        <w:t>- Source and target message formats are defined using:</w:t>
        <w:br/>
        <w:t xml:space="preserve">   - Source Structure: `source_structure.xsd`</w:t>
        <w:br/>
        <w:t xml:space="preserve">   - Target Structure: `target_structure.xsd`</w:t>
        <w:br/>
        <w:br/>
        <w:t>### Error Handling Strategy</w:t>
        <w:br/>
        <w:t>- **Catch All Errors**: Log errors to the error queue.</w:t>
        <w:br/>
        <w:t>- **Notification**: Send email notifications to the integration team using an SMTP adapter.</w:t>
        <w:br/>
        <w:br/>
        <w:t>## Performance Metrics</w:t>
        <w:br/>
        <w:br/>
        <w:t>- **Throughput**: The expected message processing rate is around 1000 messages per minute under normal load conditions.</w:t>
        <w:br/>
        <w:t>- **Latency**: The processing time for each message should ideally not exceed 5 seconds.</w:t>
        <w:br/>
        <w:br/>
        <w:t>## Monitoring and Logging</w:t>
        <w:br/>
        <w:br/>
        <w:t>Utilize the SAP Cloud Platform Integration monitoring dashboard to observe message processing and to review logs for error handling. The dashboard provides insights into:</w:t>
        <w:br/>
        <w:br/>
        <w:t>- Number of processed messages</w:t>
        <w:br/>
        <w:t>- Number of successful vs failed messages</w:t>
        <w:br/>
        <w:t>- Processing time per message</w:t>
        <w:br/>
        <w:br/>
        <w:t>## Security Considerations</w:t>
        <w:br/>
        <w:br/>
        <w:t>Ensure the following security measures are in place:</w:t>
        <w:br/>
        <w:br/>
        <w:t>- Secure connections using HTTPS.</w:t>
        <w:br/>
        <w:t>- Proper authentication mechanisms (OAuth2 preferred).</w:t>
        <w:br/>
        <w:t>- Regular reviews and updates to the security policies governing the iFlow.</w:t>
        <w:br/>
        <w:br/>
        <w:t>## Conclusion</w:t>
        <w:br/>
        <w:br/>
        <w:t xml:space="preserve">The `iflow1` integration flow is an essential component for ensuring efficient and reliable data exchange between systems. By adhering to the outlined structure, stakeholders can facilitate smooth integration while maintaining data integrity and security. Regular monitoring and updates will ensure that `iflow1` continues to meet evolving business needs. </w:t>
        <w:br/>
        <w:br/>
        <w:t>---</w:t>
        <w:br/>
        <w:br/>
        <w:t>For further questions or issues, please contact the integration development team at [Integration Team Email].</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365760" cy="36576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365760" cy="365760"/>
                        </a:xfrm>
                        <a:prstGeom prst="rect"/>
                      </pic:spPr>
                    </pic:pic>
                  </a:graphicData>
                </a:graphic>
              </wp:inline>
            </w:drawing>
          </w:r>
        </w:p>
      </w:tc>
      <w:tc>
        <w:tcPr>
          <w:tcW w:type="dxa" w:w="4320"/>
        </w:tcPr>
        <w:p>
          <w:pPr>
            <w:jc w:val="right"/>
          </w:pPr>
          <w:r>
            <w:drawing>
              <wp:inline xmlns:a="http://schemas.openxmlformats.org/drawingml/2006/main" xmlns:pic="http://schemas.openxmlformats.org/drawingml/2006/picture">
                <wp:extent cx="365760" cy="36576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365760" cy="36576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