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SourceCode"/>
      </w:pPr>
      <w:r>
        <w:rPr>
          <w:rStyle w:val="VerbatimChar"/>
        </w:rPr>
        <w:t xml:space="preserve">&lt;img src='https://raw.githubusercontent.com/Rohancherian783/trail1/main/assets/sap_logo.png' width='120' style='margin-right: 20px;'/&gt;</w:t>
      </w:r>
      <w:r>
        <w:br/>
      </w:r>
      <w:r>
        <w:rPr>
          <w:rStyle w:val="VerbatimChar"/>
        </w:rPr>
        <w:t xml:space="preserve">&lt;img src='https://raw.githubusercontent.com/Rohancherian783/trail1/main/assets/motiveminds_logo.png' width='150'/&gt;</w:t>
      </w:r>
    </w:p>
    <w:p>
      <w:pPr>
        <w:pStyle w:val="FirstParagraph"/>
      </w:pPr>
      <w:r>
        <w:t xml:space="preserve">integrationflow - Technical Specification</w:t>
      </w:r>
    </w:p>
    <w:p>
      <w:pPr>
        <w:pStyle w:val="BodyText"/>
      </w:pPr>
      <w:r>
        <w:t xml:space="preserve">Generated on 2026-01-06 by Akila710</w:t>
      </w:r>
    </w:p>
    <w:p>
      <w:pPr>
        <w:pStyle w:val="SourceCode"/>
      </w:pPr>
      <w:r>
        <w:rPr>
          <w:rStyle w:val="VerbatimChar"/>
        </w:rPr>
        <w:t xml:space="preserve">&lt;img src='https://raw.githubusercontent.com/Rohancherian783/trail1/main/assets/sap_logo.png' width='120' style='margin-right: 20px;'/&gt;</w:t>
      </w:r>
      <w:r>
        <w:br/>
      </w:r>
      <w:r>
        <w:rPr>
          <w:rStyle w:val="VerbatimChar"/>
        </w:rPr>
        <w:t xml:space="preserve">&lt;img src='https://raw.githubusercontent.com/Rohancherian783/trail1/main/assets/motiveminds_logo.png' width='150'/&gt;</w:t>
      </w:r>
    </w:p>
    <w:p>
      <w:pPr>
        <w:pStyle w:val="FirstParagraph"/>
      </w:pPr>
      <w:r>
        <w:t xml:space="preserve"># Technical Specification Document for iFlow</w:t>
      </w:r>
      <w:r>
        <w:t xml:space="preserve"> </w:t>
      </w:r>
      <w:r>
        <w:t xml:space="preserve">‘</w:t>
      </w:r>
      <w:r>
        <w:t xml:space="preserve">integrationflow</w:t>
      </w:r>
      <w:r>
        <w:t xml:space="preserve">’</w:t>
      </w:r>
    </w:p>
    <w:bookmarkStart w:id="20" w:name="purpose"/>
    <w:p>
      <w:pPr>
        <w:pStyle w:val="Heading2"/>
      </w:pPr>
      <w:r>
        <w:t xml:space="preserve">1.1 Purpose</w:t>
      </w:r>
    </w:p>
    <w:p>
      <w:pPr>
        <w:pStyle w:val="FirstParagraph"/>
      </w:pPr>
      <w:r>
        <w:t xml:space="preserve">The purpose of the iFlow</w:t>
      </w:r>
      <w:r>
        <w:t xml:space="preserve"> </w:t>
      </w:r>
      <w:r>
        <w:t xml:space="preserve">‘</w:t>
      </w:r>
      <w:r>
        <w:t xml:space="preserve">integrationflow</w:t>
      </w:r>
      <w:r>
        <w:t xml:space="preserve">’</w:t>
      </w:r>
      <w:r>
        <w:t xml:space="preserve"> </w:t>
      </w:r>
      <w:r>
        <w:t xml:space="preserve">is to facilitate the seamless exchange of messages between a sender and a receiver within an integration process. The business problem addressed by this iFlow is the need for efficient data transfer between disparate systems, ensuring that messages are processed in a timely manner. The trigger for this integration flow is the initiation of a message from the sender, which subsequently flows through the integration process and reaches the receiver. The expected outcome is the successful delivery of the message to the receiver, with appropriate logging and error handling mechanisms in place.</w:t>
      </w:r>
    </w:p>
    <w:bookmarkEnd w:id="20"/>
    <w:bookmarkStart w:id="25" w:name="scope"/>
    <w:p>
      <w:pPr>
        <w:pStyle w:val="Heading2"/>
      </w:pPr>
      <w:r>
        <w:t xml:space="preserve">1.2 Scope</w:t>
      </w:r>
    </w:p>
    <w:bookmarkStart w:id="21" w:name="inclusions"/>
    <w:p>
      <w:pPr>
        <w:pStyle w:val="Heading3"/>
      </w:pPr>
      <w:r>
        <w:t xml:space="preserve">Inclusions</w:t>
      </w:r>
    </w:p>
    <w:p>
      <w:pPr>
        <w:numPr>
          <w:ilvl w:val="0"/>
          <w:numId w:val="1001"/>
        </w:numPr>
        <w:pStyle w:val="Compact"/>
      </w:pPr>
      <w:r>
        <w:rPr>
          <w:bCs/>
          <w:b/>
        </w:rPr>
        <w:t xml:space="preserve">Endpoints</w:t>
      </w:r>
      <w:r>
        <w:t xml:space="preserve">: The iFlow includes a sender endpoint and a receiver endpoint.</w:t>
      </w:r>
    </w:p>
    <w:p>
      <w:pPr>
        <w:numPr>
          <w:ilvl w:val="0"/>
          <w:numId w:val="1001"/>
        </w:numPr>
        <w:pStyle w:val="Compact"/>
      </w:pPr>
      <w:r>
        <w:rPr>
          <w:bCs/>
          <w:b/>
        </w:rPr>
        <w:t xml:space="preserve">Transformations</w:t>
      </w:r>
      <w:r>
        <w:t xml:space="preserve">: The flow may include transformations to convert the message format as required by the receiver.</w:t>
      </w:r>
    </w:p>
    <w:p>
      <w:pPr>
        <w:numPr>
          <w:ilvl w:val="0"/>
          <w:numId w:val="1001"/>
        </w:numPr>
        <w:pStyle w:val="Compact"/>
      </w:pPr>
      <w:r>
        <w:rPr>
          <w:bCs/>
          <w:b/>
        </w:rPr>
        <w:t xml:space="preserve">Logging</w:t>
      </w:r>
      <w:r>
        <w:t xml:space="preserve">: All events are logged for monitoring and troubleshooting purposes.</w:t>
      </w:r>
    </w:p>
    <w:bookmarkEnd w:id="21"/>
    <w:bookmarkStart w:id="22" w:name="exclusions"/>
    <w:p>
      <w:pPr>
        <w:pStyle w:val="Heading3"/>
      </w:pPr>
      <w:r>
        <w:t xml:space="preserve">Exclusions</w:t>
      </w:r>
    </w:p>
    <w:p>
      <w:pPr>
        <w:numPr>
          <w:ilvl w:val="0"/>
          <w:numId w:val="1002"/>
        </w:numPr>
        <w:pStyle w:val="Compact"/>
      </w:pPr>
      <w:r>
        <w:rPr>
          <w:bCs/>
          <w:b/>
        </w:rPr>
        <w:t xml:space="preserve">Error Handling</w:t>
      </w:r>
      <w:r>
        <w:t xml:space="preserve">: While basic error handling is included, complex error handling scenarios are not covered in this flow.</w:t>
      </w:r>
    </w:p>
    <w:p>
      <w:pPr>
        <w:numPr>
          <w:ilvl w:val="0"/>
          <w:numId w:val="1002"/>
        </w:numPr>
        <w:pStyle w:val="Compact"/>
      </w:pPr>
      <w:r>
        <w:rPr>
          <w:bCs/>
          <w:b/>
        </w:rPr>
        <w:t xml:space="preserve">Data Validation</w:t>
      </w:r>
      <w:r>
        <w:t xml:space="preserve">: The flow does not include extensive data validation mechanisms.</w:t>
      </w:r>
    </w:p>
    <w:bookmarkEnd w:id="22"/>
    <w:bookmarkStart w:id="23" w:name="endpoints"/>
    <w:p>
      <w:pPr>
        <w:pStyle w:val="Heading3"/>
      </w:pPr>
      <w:r>
        <w:t xml:space="preserve">Endpoints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 Type</w:t>
            </w:r>
          </w:p>
        </w:tc>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Sender</w:t>
            </w:r>
          </w:p>
        </w:tc>
        <w:tc>
          <w:tcPr/>
          <w:p>
            <w:pPr>
              <w:pStyle w:val="Compact"/>
              <w:jc w:val="left"/>
            </w:pPr>
            <w:r>
              <w:t xml:space="preserve">Sender</w:t>
            </w:r>
          </w:p>
        </w:tc>
        <w:tc>
          <w:tcPr/>
          <w:p>
            <w:pPr>
              <w:pStyle w:val="Compact"/>
              <w:jc w:val="left"/>
            </w:pPr>
            <w:r>
              <w:t xml:space="preserve">Initiates the message flow</w:t>
            </w:r>
          </w:p>
        </w:tc>
      </w:tr>
      <w:tr>
        <w:tc>
          <w:tcPr/>
          <w:p>
            <w:pPr>
              <w:pStyle w:val="Compact"/>
              <w:jc w:val="left"/>
            </w:pPr>
            <w:r>
              <w:t xml:space="preserve">Receiver</w:t>
            </w:r>
          </w:p>
        </w:tc>
        <w:tc>
          <w:tcPr/>
          <w:p>
            <w:pPr>
              <w:pStyle w:val="Compact"/>
              <w:jc w:val="left"/>
            </w:pPr>
            <w:r>
              <w:t xml:space="preserve">Receiver</w:t>
            </w:r>
          </w:p>
        </w:tc>
        <w:tc>
          <w:tcPr/>
          <w:p>
            <w:pPr>
              <w:pStyle w:val="Compact"/>
              <w:jc w:val="left"/>
            </w:pPr>
            <w:r>
              <w:t xml:space="preserve">Receives the processed message</w:t>
            </w:r>
          </w:p>
        </w:tc>
      </w:tr>
    </w:tbl>
    <w:bookmarkEnd w:id="23"/>
    <w:bookmarkStart w:id="24" w:name="constraints"/>
    <w:p>
      <w:pPr>
        <w:pStyle w:val="Heading3"/>
      </w:pPr>
      <w:r>
        <w:t xml:space="preserve">Constraints</w:t>
      </w:r>
    </w:p>
    <w:p>
      <w:pPr>
        <w:numPr>
          <w:ilvl w:val="0"/>
          <w:numId w:val="1003"/>
        </w:numPr>
        <w:pStyle w:val="Compact"/>
      </w:pPr>
      <w:r>
        <w:t xml:space="preserve">The integration process has a transaction timeout of 30 seconds.</w:t>
      </w:r>
    </w:p>
    <w:p>
      <w:pPr>
        <w:numPr>
          <w:ilvl w:val="0"/>
          <w:numId w:val="1003"/>
        </w:numPr>
        <w:pStyle w:val="Compact"/>
      </w:pPr>
      <w:r>
        <w:t xml:space="preserve">The flow does not support CORS (Cross-Origin Resource Sharing).</w:t>
      </w:r>
    </w:p>
    <w:bookmarkEnd w:id="24"/>
    <w:bookmarkEnd w:id="25"/>
    <w:bookmarkStart w:id="30" w:name="integration-components"/>
    <w:p>
      <w:pPr>
        <w:pStyle w:val="Heading2"/>
      </w:pPr>
      <w:r>
        <w:t xml:space="preserve">2.1 Integration Components</w:t>
      </w:r>
    </w:p>
    <w:p>
      <w:pPr>
        <w:pStyle w:val="CaptionedFigure"/>
      </w:pPr>
      <w:r>
        <w:drawing>
          <wp:inline>
            <wp:extent cx="4876800" cy="4140200"/>
            <wp:effectExtent b="0" l="0" r="0" t="0"/>
            <wp:docPr descr="Integration Architecture" title="" id="27" name="Picture"/>
            <a:graphic>
              <a:graphicData uri="http://schemas.openxmlformats.org/drawingml/2006/picture">
                <pic:pic>
                  <pic:nvPicPr>
                    <pic:cNvPr descr="architecture.png" id="28" name="Picture"/>
                    <pic:cNvPicPr>
                      <a:picLocks noChangeArrowheads="1" noChangeAspect="1"/>
                    </pic:cNvPicPr>
                  </pic:nvPicPr>
                  <pic:blipFill>
                    <a:blip r:embed="rId26"/>
                    <a:stretch>
                      <a:fillRect/>
                    </a:stretch>
                  </pic:blipFill>
                  <pic:spPr bwMode="auto">
                    <a:xfrm>
                      <a:off x="0" y="0"/>
                      <a:ext cx="4876800" cy="4140200"/>
                    </a:xfrm>
                    <a:prstGeom prst="rect">
                      <a:avLst/>
                    </a:prstGeom>
                    <a:noFill/>
                    <a:ln w="9525">
                      <a:noFill/>
                      <a:headEnd/>
                      <a:tailEnd/>
                    </a:ln>
                  </pic:spPr>
                </pic:pic>
              </a:graphicData>
            </a:graphic>
          </wp:inline>
        </w:drawing>
      </w:r>
    </w:p>
    <w:p>
      <w:pPr>
        <w:pStyle w:val="ImageCaption"/>
      </w:pPr>
      <w:r>
        <w:t xml:space="preserve">Integration Architecture</w:t>
      </w:r>
    </w:p>
    <w:bookmarkStart w:id="29" w:name="integration-components-1"/>
    <w:p>
      <w:pPr>
        <w:pStyle w:val="Heading3"/>
      </w:pPr>
      <w:r>
        <w:t xml:space="preserve">2.2 Integration Components</w:t>
      </w:r>
    </w:p>
    <w:tbl>
      <w:tblPr>
        <w:tblStyle w:val="Table"/>
        <w:tblW w:type="pct" w:w="5000"/>
        <w:tblLook w:firstRow="1" w:lastRow="0" w:firstColumn="0" w:lastColumn="0" w:noHBand="0" w:noVBand="0" w:val="0020"/>
        <w:jc w:val="start"/>
      </w:tblPr>
      <w:tblGrid>
        <w:gridCol w:w="1659"/>
        <w:gridCol w:w="1584"/>
        <w:gridCol w:w="4676"/>
      </w:tblGrid>
      <w:tr>
        <w:trPr>
          <w:tblHeader w:val="true"/>
        </w:trPr>
        <w:tc>
          <w:tcPr/>
          <w:p>
            <w:pPr>
              <w:pStyle w:val="Compact"/>
              <w:jc w:val="left"/>
            </w:pPr>
            <w:r>
              <w:t xml:space="preserve">Component Type</w:t>
            </w:r>
          </w:p>
        </w:tc>
        <w:tc>
          <w:tcPr/>
          <w:p>
            <w:pPr>
              <w:pStyle w:val="Compact"/>
              <w:jc w:val="left"/>
            </w:pPr>
            <w:r>
              <w:t xml:space="preserve">Name</w:t>
            </w:r>
          </w:p>
        </w:tc>
        <w:tc>
          <w:tcPr/>
          <w:p>
            <w:pPr>
              <w:pStyle w:val="Compact"/>
              <w:jc w:val="left"/>
            </w:pPr>
            <w:r>
              <w:t xml:space="preserve">Description</w:t>
            </w:r>
          </w:p>
        </w:tc>
      </w:tr>
      <w:tr>
        <w:tc>
          <w:tcPr/>
          <w:p>
            <w:pPr>
              <w:pStyle w:val="Compact"/>
              <w:jc w:val="left"/>
            </w:pPr>
            <w:r>
              <w:rPr>
                <w:bCs/>
                <w:b/>
              </w:rPr>
              <w:t xml:space="preserve">Adapter</w:t>
            </w:r>
          </w:p>
        </w:tc>
        <w:tc>
          <w:tcPr/>
          <w:p>
            <w:pPr>
              <w:pStyle w:val="Compact"/>
              <w:jc w:val="left"/>
            </w:pPr>
            <w:r>
              <w:t xml:space="preserve">EndpointSender</w:t>
            </w:r>
          </w:p>
        </w:tc>
        <w:tc>
          <w:tcPr/>
          <w:p>
            <w:pPr>
              <w:pStyle w:val="Compact"/>
              <w:jc w:val="left"/>
            </w:pPr>
            <w:r>
              <w:t xml:space="preserve">Sends messages to the integration process.</w:t>
            </w:r>
          </w:p>
        </w:tc>
      </w:tr>
      <w:tr>
        <w:tc>
          <w:tcPr/>
          <w:p>
            <w:pPr>
              <w:pStyle w:val="Compact"/>
              <w:jc w:val="left"/>
            </w:pPr>
            <w:r>
              <w:rPr>
                <w:bCs/>
                <w:b/>
              </w:rPr>
              <w:t xml:space="preserve">Adapter</w:t>
            </w:r>
          </w:p>
        </w:tc>
        <w:tc>
          <w:tcPr/>
          <w:p>
            <w:pPr>
              <w:pStyle w:val="Compact"/>
              <w:jc w:val="left"/>
            </w:pPr>
            <w:r>
              <w:t xml:space="preserve">EndpointReceiver</w:t>
            </w:r>
          </w:p>
        </w:tc>
        <w:tc>
          <w:tcPr/>
          <w:p>
            <w:pPr>
              <w:pStyle w:val="Compact"/>
              <w:jc w:val="left"/>
            </w:pPr>
            <w:r>
              <w:t xml:space="preserve">Receives messages from the integration process.</w:t>
            </w:r>
          </w:p>
        </w:tc>
      </w:tr>
      <w:tr>
        <w:tc>
          <w:tcPr/>
          <w:p>
            <w:pPr>
              <w:pStyle w:val="Compact"/>
              <w:jc w:val="left"/>
            </w:pPr>
            <w:r>
              <w:rPr>
                <w:bCs/>
                <w:b/>
              </w:rPr>
              <w:t xml:space="preserve">Script</w:t>
            </w:r>
          </w:p>
        </w:tc>
        <w:tc>
          <w:tcPr/>
          <w:p>
            <w:pPr>
              <w:pStyle w:val="Compact"/>
              <w:jc w:val="left"/>
            </w:pPr>
            <w:r>
              <w:t xml:space="preserve">N/A</w:t>
            </w:r>
          </w:p>
        </w:tc>
        <w:tc>
          <w:tcPr/>
          <w:p>
            <w:pPr>
              <w:pStyle w:val="Compact"/>
              <w:jc w:val="left"/>
            </w:pPr>
            <w:r>
              <w:t xml:space="preserve">No Groovy scripts are defined in this flow.</w:t>
            </w:r>
          </w:p>
        </w:tc>
      </w:tr>
      <w:tr>
        <w:tc>
          <w:tcPr/>
          <w:p>
            <w:pPr>
              <w:pStyle w:val="Compact"/>
              <w:jc w:val="left"/>
            </w:pPr>
            <w:r>
              <w:rPr>
                <w:bCs/>
                <w:b/>
              </w:rPr>
              <w:t xml:space="preserve">Content Modifier</w:t>
            </w:r>
          </w:p>
        </w:tc>
        <w:tc>
          <w:tcPr/>
          <w:p>
            <w:pPr>
              <w:pStyle w:val="Compact"/>
              <w:jc w:val="left"/>
            </w:pPr>
            <w:r>
              <w:t xml:space="preserve">N/A</w:t>
            </w:r>
          </w:p>
        </w:tc>
        <w:tc>
          <w:tcPr/>
          <w:p>
            <w:pPr>
              <w:pStyle w:val="Compact"/>
              <w:jc w:val="left"/>
            </w:pPr>
            <w:r>
              <w:t xml:space="preserve">No content modifiers are defined in this flow.</w:t>
            </w:r>
          </w:p>
        </w:tc>
      </w:tr>
    </w:tbl>
    <w:bookmarkEnd w:id="29"/>
    <w:bookmarkEnd w:id="30"/>
    <w:bookmarkStart w:id="31" w:name="scenario-description"/>
    <w:p>
      <w:pPr>
        <w:pStyle w:val="Heading2"/>
      </w:pPr>
      <w:r>
        <w:t xml:space="preserve">3.1 Scenario Description</w:t>
      </w:r>
    </w:p>
    <w:p>
      <w:pPr>
        <w:numPr>
          <w:ilvl w:val="0"/>
          <w:numId w:val="1004"/>
        </w:numPr>
        <w:pStyle w:val="Compact"/>
      </w:pPr>
      <w:r>
        <w:rPr>
          <w:bCs/>
          <w:b/>
        </w:rPr>
        <w:t xml:space="preserve">Start Event</w:t>
      </w:r>
      <w:r>
        <w:t xml:space="preserve">: The integration flow is triggered by a start event, which signifies the beginning of the message processing.</w:t>
      </w:r>
    </w:p>
    <w:p>
      <w:pPr>
        <w:numPr>
          <w:ilvl w:val="0"/>
          <w:numId w:val="1004"/>
        </w:numPr>
        <w:pStyle w:val="Compact"/>
      </w:pPr>
      <w:r>
        <w:rPr>
          <w:bCs/>
          <w:b/>
        </w:rPr>
        <w:t xml:space="preserve">Message Trigger</w:t>
      </w:r>
      <w:r>
        <w:t xml:space="preserve">: The sender initiates the message flow by sending a message to the integration process.</w:t>
      </w:r>
    </w:p>
    <w:p>
      <w:pPr>
        <w:numPr>
          <w:ilvl w:val="0"/>
          <w:numId w:val="1004"/>
        </w:numPr>
        <w:pStyle w:val="Compact"/>
      </w:pPr>
      <w:r>
        <w:rPr>
          <w:bCs/>
          <w:b/>
        </w:rPr>
        <w:t xml:space="preserve">Integration Process</w:t>
      </w:r>
      <w:r>
        <w:t xml:space="preserve">: The message is processed within the integration process, where any necessary transformations or processing logic would be applied.</w:t>
      </w:r>
    </w:p>
    <w:p>
      <w:pPr>
        <w:numPr>
          <w:ilvl w:val="0"/>
          <w:numId w:val="1004"/>
        </w:numPr>
        <w:pStyle w:val="Compact"/>
      </w:pPr>
      <w:r>
        <w:rPr>
          <w:bCs/>
          <w:b/>
        </w:rPr>
        <w:t xml:space="preserve">End Event</w:t>
      </w:r>
      <w:r>
        <w:t xml:space="preserve">: Upon successful processing, the message reaches the end event, indicating the completion of the flow.</w:t>
      </w:r>
    </w:p>
    <w:p>
      <w:pPr>
        <w:numPr>
          <w:ilvl w:val="0"/>
          <w:numId w:val="1004"/>
        </w:numPr>
        <w:pStyle w:val="Compact"/>
      </w:pPr>
      <w:r>
        <w:rPr>
          <w:bCs/>
          <w:b/>
        </w:rPr>
        <w:t xml:space="preserve">Message Delivery</w:t>
      </w:r>
      <w:r>
        <w:t xml:space="preserve">: The processed message is delivered to the receiver endpoint, completing the integration flow.</w:t>
      </w:r>
    </w:p>
    <w:p>
      <w:pPr>
        <w:pStyle w:val="FirstParagraph"/>
      </w:pPr>
      <w:r>
        <w:t xml:space="preserve">This document serves as a comprehensive technical specification for the iFlow</w:t>
      </w:r>
      <w:r>
        <w:t xml:space="preserve"> </w:t>
      </w:r>
      <w:r>
        <w:t xml:space="preserve">‘</w:t>
      </w:r>
      <w:r>
        <w:t xml:space="preserve">integrationflow</w:t>
      </w:r>
      <w:r>
        <w:t xml:space="preserve">’</w:t>
      </w:r>
      <w:r>
        <w:t xml:space="preserve">, detailing its purpose, scope, integration components, and message lifecycle.</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2026-01-06T06:44:19Z</dcterms:created>
  <dcterms:modified xsi:type="dcterms:W3CDTF">2026-01-06T06:44:19Z</dcterms:modified>
</cp:coreProperties>
</file>

<file path=docProps/custom.xml><?xml version="1.0" encoding="utf-8"?>
<Properties xmlns="http://schemas.openxmlformats.org/officeDocument/2006/custom-properties" xmlns:vt="http://schemas.openxmlformats.org/officeDocument/2006/docPropsVTypes"/>
</file>