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iflow1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 xml:space="preserve">   1.1 Purpose</w:t>
      </w:r>
    </w:p>
    <w:p>
      <w:r>
        <w:t xml:space="preserve">   1.2 Scope</w:t>
      </w:r>
    </w:p>
    <w:p>
      <w:r>
        <w:t>2. Integration Overview</w:t>
      </w:r>
    </w:p>
    <w:p>
      <w:r>
        <w:t xml:space="preserve">   2.1 Integration Architecture</w:t>
      </w:r>
    </w:p>
    <w:p>
      <w:r>
        <w:t xml:space="preserve">   2.2 Integration Components</w:t>
      </w:r>
    </w:p>
    <w:p>
      <w:r>
        <w:t>3. Integration Scenarios</w:t>
      </w:r>
    </w:p>
    <w:p>
      <w:r>
        <w:t xml:space="preserve">   3.1 Scenario Description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The purpose of iflow1 is to integrate source and target systems using SAP Cloud Platform Integration.</w:t>
      </w:r>
    </w:p>
    <w:p>
      <w:pPr>
        <w:pStyle w:val="Heading2"/>
      </w:pPr>
      <w:r>
        <w:t>1.2 Scope</w:t>
      </w:r>
    </w:p>
    <w:p>
      <w:r>
        <w:t>This document covers the design, architecture, and execution of iflow1.</w:t>
      </w:r>
    </w:p>
    <w:p>
      <w:pPr>
        <w:pStyle w:val="Heading1"/>
      </w:pPr>
      <w:r>
        <w:t>2. Integration Overview</w:t>
      </w:r>
    </w:p>
    <w:p>
      <w:pPr>
        <w:pStyle w:val="Heading2"/>
      </w:pPr>
      <w:r>
        <w:t>2.1 Integration Architecture</w:t>
      </w:r>
    </w:p>
    <w:p>
      <w:r>
        <w:t>The integration architecture is illustrated below.</w:t>
      </w:r>
    </w:p>
    <w:p>
      <w:pPr>
        <w:pStyle w:val="Heading2"/>
      </w:pPr>
      <w:r>
        <w:t>2.2 Integration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Sender</w:t>
            </w:r>
          </w:p>
        </w:tc>
        <w:tc>
          <w:tcPr>
            <w:tcW w:type="dxa" w:w="4320"/>
          </w:tcPr>
          <w:p>
            <w:r>
              <w:t>Source System</w:t>
            </w:r>
          </w:p>
        </w:tc>
      </w:tr>
      <w:tr>
        <w:tc>
          <w:tcPr>
            <w:tcW w:type="dxa" w:w="4320"/>
          </w:tcPr>
          <w:p>
            <w:r>
              <w:t>Sender Adapter</w:t>
            </w:r>
          </w:p>
        </w:tc>
        <w:tc>
          <w:tcPr>
            <w:tcW w:type="dxa" w:w="4320"/>
          </w:tcPr>
          <w:p>
            <w:r>
              <w:t>HTTPS</w:t>
            </w:r>
          </w:p>
        </w:tc>
      </w:tr>
      <w:tr>
        <w:tc>
          <w:tcPr>
            <w:tcW w:type="dxa" w:w="4320"/>
          </w:tcPr>
          <w:p>
            <w:r>
              <w:t>Receiver</w:t>
            </w:r>
          </w:p>
        </w:tc>
        <w:tc>
          <w:tcPr>
            <w:tcW w:type="dxa" w:w="4320"/>
          </w:tcPr>
          <w:p>
            <w:r>
              <w:t>Target System</w:t>
            </w:r>
          </w:p>
        </w:tc>
      </w:tr>
      <w:tr>
        <w:tc>
          <w:tcPr>
            <w:tcW w:type="dxa" w:w="4320"/>
          </w:tcPr>
          <w:p>
            <w:r>
              <w:t>Receiver Adapter</w:t>
            </w:r>
          </w:p>
        </w:tc>
        <w:tc>
          <w:tcPr>
            <w:tcW w:type="dxa" w:w="4320"/>
          </w:tcPr>
          <w:p>
            <w:r>
              <w:t>ODATA</w:t>
            </w:r>
          </w:p>
        </w:tc>
      </w:tr>
    </w:tbl>
    <w:p>
      <w:pPr>
        <w:pStyle w:val="Heading1"/>
      </w:pPr>
      <w:r>
        <w:t>3. Integration Scenarios</w:t>
      </w:r>
    </w:p>
    <w:p>
      <w:pPr>
        <w:pStyle w:val="Heading2"/>
      </w:pPr>
      <w:r>
        <w:t>3.1 Scenario Description</w:t>
      </w:r>
    </w:p>
    <w:p>
      <w:r>
        <w:t>The iflow1 scenario involves message processing, transformation, and delivery between systems.</w:t>
      </w:r>
    </w:p>
    <w:p>
      <w:pPr>
        <w:pStyle w:val="Heading1"/>
      </w:pPr>
      <w:r>
        <w:t>4. Error Handling and Logging</w:t>
      </w:r>
    </w:p>
    <w:p>
      <w:r>
        <w:t>Errors are handled using CPI exception subprocesses.</w:t>
      </w:r>
    </w:p>
    <w:p>
      <w:pPr>
        <w:pStyle w:val="Heading1"/>
      </w:pPr>
      <w:r>
        <w:t>5. Testing Validation</w:t>
      </w:r>
    </w:p>
    <w:p>
      <w:r>
        <w:t>Functional and integration testing is performed.</w:t>
      </w:r>
    </w:p>
    <w:p>
      <w:pPr>
        <w:pStyle w:val="Heading1"/>
      </w:pPr>
      <w:r>
        <w:t>6. Reference Documents</w:t>
      </w:r>
    </w:p>
    <w:p>
      <w:r>
        <w:t>SAP CPI Documentation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6120"/>
      <w:gridCol w:w="6120"/>
    </w:tblGrid>
    <w:tr>
      <w:tc>
        <w:tcPr>
          <w:tcW w:type="dxa" w:w="612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12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