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80adda1ce5f185b51fcba3bf9d80a3da2ba677"/>
    <w:p>
      <w:pPr>
        <w:pStyle w:val="Heading1"/>
      </w:pPr>
      <w:r>
        <w:t xml:space="preserve">Odata_Mass_PDF_upload iFlow Documentation</w:t>
      </w:r>
    </w:p>
    <w:bookmarkStart w:id="20" w:name="high-level-architecture"/>
    <w:p>
      <w:pPr>
        <w:pStyle w:val="Heading2"/>
      </w:pPr>
      <w:r>
        <w:t xml:space="preserve">High-level architecture</w:t>
      </w:r>
    </w:p>
    <w:p>
      <w:pPr>
        <w:pStyle w:val="FirstParagraph"/>
      </w:pPr>
      <w:r>
        <w:t xml:space="preserve">The Odata_Mass_PDF_upload iFlow is designed to handle mass PDF uploads from a sender system to a receiver system via SAP Cloud Platform Integration (CPI). The iFlow consists of a sender, a receiver, and an integration process.</w:t>
      </w:r>
    </w:p>
    <w:bookmarkEnd w:id="20"/>
    <w:bookmarkStart w:id="21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purpose of this iFlow is to facilitate the mass upload of PDF files from a sender system to a receiver system, utilizing SAP CPI as the integration platform.</w:t>
      </w:r>
    </w:p>
    <w:bookmarkEnd w:id="21"/>
    <w:bookmarkStart w:id="22" w:name="senderreceiver-systems"/>
    <w:p>
      <w:pPr>
        <w:pStyle w:val="Heading2"/>
      </w:pPr>
      <w:r>
        <w:t xml:space="preserve">Sender/Receiver systems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Sender System:</w:t>
      </w:r>
      <w:r>
        <w:t xml:space="preserve"> </w:t>
      </w:r>
      <w:r>
        <w:t xml:space="preserve">The sender system is the source of the PDF files to be uploaded. The sender system is configured as an Endpoint Sender in the iFlow.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Receiver System:</w:t>
      </w:r>
      <w:r>
        <w:t xml:space="preserve"> </w:t>
      </w:r>
      <w:r>
        <w:t xml:space="preserve">The receiver system is the target system where the PDF files will be uploaded. The receiver system is configured as an Endpoint Receiver in the iFlow.</w:t>
      </w:r>
    </w:p>
    <w:bookmarkEnd w:id="22"/>
    <w:bookmarkStart w:id="23" w:name="adapter-types-used"/>
    <w:p>
      <w:pPr>
        <w:pStyle w:val="Heading2"/>
      </w:pPr>
      <w:r>
        <w:t xml:space="preserve">Adapter types used</w:t>
      </w:r>
    </w:p>
    <w:p>
      <w:pPr>
        <w:pStyle w:val="FirstParagraph"/>
      </w:pPr>
      <w:r>
        <w:t xml:space="preserve">The iFlow uses the following adapter types: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HTTP Adapter:</w:t>
      </w:r>
      <w:r>
        <w:t xml:space="preserve"> </w:t>
      </w:r>
      <w:r>
        <w:t xml:space="preserve">The HTTP adapter is used to send and receive messages between the sender and receiver systems.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OData Adapter:</w:t>
      </w:r>
      <w:r>
        <w:t xml:space="preserve"> </w:t>
      </w:r>
      <w:r>
        <w:t xml:space="preserve">The OData adapter is used to interact with the receiver system’s OData API.</w:t>
      </w:r>
    </w:p>
    <w:bookmarkEnd w:id="23"/>
    <w:bookmarkStart w:id="24" w:name="step-by-step-flow-explanation"/>
    <w:p>
      <w:pPr>
        <w:pStyle w:val="Heading2"/>
      </w:pPr>
      <w:r>
        <w:t xml:space="preserve">Step-by-step flow explanation</w:t>
      </w:r>
    </w:p>
    <w:p>
      <w:pPr>
        <w:numPr>
          <w:ilvl w:val="0"/>
          <w:numId w:val="1002"/>
        </w:numPr>
        <w:pStyle w:val="Compact"/>
      </w:pPr>
      <w:r>
        <w:t xml:space="preserve">The sender system sends a request to the iFlow to initiate the mass PDF upload process.</w:t>
      </w:r>
    </w:p>
    <w:p>
      <w:pPr>
        <w:numPr>
          <w:ilvl w:val="0"/>
          <w:numId w:val="1002"/>
        </w:numPr>
        <w:pStyle w:val="Compact"/>
      </w:pPr>
      <w:r>
        <w:t xml:space="preserve">The iFlow receives the request and triggers the integration process.</w:t>
      </w:r>
    </w:p>
    <w:p>
      <w:pPr>
        <w:numPr>
          <w:ilvl w:val="0"/>
          <w:numId w:val="1002"/>
        </w:numPr>
        <w:pStyle w:val="Compact"/>
      </w:pPr>
      <w:r>
        <w:t xml:space="preserve">The integration process retrieves the PDF files from the sender system using the HTTP adapter.</w:t>
      </w:r>
    </w:p>
    <w:p>
      <w:pPr>
        <w:numPr>
          <w:ilvl w:val="0"/>
          <w:numId w:val="1002"/>
        </w:numPr>
        <w:pStyle w:val="Compact"/>
      </w:pPr>
      <w:r>
        <w:t xml:space="preserve">The integration process then uses the OData adapter to upload the PDF files to the receiver system.</w:t>
      </w:r>
    </w:p>
    <w:p>
      <w:pPr>
        <w:numPr>
          <w:ilvl w:val="0"/>
          <w:numId w:val="1002"/>
        </w:numPr>
        <w:pStyle w:val="Compact"/>
      </w:pPr>
      <w:r>
        <w:t xml:space="preserve">The receiver system processes the uploaded PDF files and sends a response back to the iFlow.</w:t>
      </w:r>
    </w:p>
    <w:p>
      <w:pPr>
        <w:numPr>
          <w:ilvl w:val="0"/>
          <w:numId w:val="1002"/>
        </w:numPr>
        <w:pStyle w:val="Compact"/>
      </w:pPr>
      <w:r>
        <w:t xml:space="preserve">The iFlow receives the response and sends a confirmation back to the sender system.</w:t>
      </w:r>
    </w:p>
    <w:bookmarkEnd w:id="24"/>
    <w:bookmarkStart w:id="25" w:name="mapping-logic-summary"/>
    <w:p>
      <w:pPr>
        <w:pStyle w:val="Heading2"/>
      </w:pPr>
      <w:r>
        <w:t xml:space="preserve">Mapping logic summary</w:t>
      </w:r>
    </w:p>
    <w:p>
      <w:pPr>
        <w:pStyle w:val="FirstParagraph"/>
      </w:pPr>
      <w:r>
        <w:t xml:space="preserve">The mapping logic is used to transform the PDF files from the sender system’s format to the receiver system’s format. The mapping logic is implemented using SAP CPI’s built-in mapping tools.</w:t>
      </w:r>
    </w:p>
    <w:bookmarkEnd w:id="25"/>
    <w:bookmarkStart w:id="26" w:name="groovy-script-explanation"/>
    <w:p>
      <w:pPr>
        <w:pStyle w:val="Heading2"/>
      </w:pPr>
      <w:r>
        <w:t xml:space="preserve">Groovy script explanation</w:t>
      </w:r>
    </w:p>
    <w:p>
      <w:pPr>
        <w:pStyle w:val="FirstParagraph"/>
      </w:pPr>
      <w:r>
        <w:t xml:space="preserve">No Groovy script is used in this iFlow.</w:t>
      </w:r>
    </w:p>
    <w:bookmarkEnd w:id="26"/>
    <w:bookmarkStart w:id="27" w:name="error-handling"/>
    <w:p>
      <w:pPr>
        <w:pStyle w:val="Heading2"/>
      </w:pPr>
      <w:r>
        <w:t xml:space="preserve">Error handling</w:t>
      </w:r>
    </w:p>
    <w:p>
      <w:pPr>
        <w:pStyle w:val="FirstParagraph"/>
      </w:pPr>
      <w:r>
        <w:t xml:space="preserve">Error handling is implemented using SAP CPI’s built-in error handling mechanisms. If an error occurs during the execution of the iFlow, the error is logged and a notification is sent to the administrator.</w:t>
      </w:r>
    </w:p>
    <w:bookmarkEnd w:id="27"/>
    <w:bookmarkStart w:id="28" w:name="securityauthentication"/>
    <w:p>
      <w:pPr>
        <w:pStyle w:val="Heading2"/>
      </w:pPr>
      <w:r>
        <w:t xml:space="preserve">Security/authentication</w:t>
      </w:r>
    </w:p>
    <w:p>
      <w:pPr>
        <w:pStyle w:val="FirstParagraph"/>
      </w:pPr>
      <w:r>
        <w:t xml:space="preserve">Security and authentication are implemented using SAP CPI’s built-in security features, including SSL/TLS encryption and basic authentication.</w:t>
      </w:r>
    </w:p>
    <w:bookmarkEnd w:id="28"/>
    <w:bookmarkStart w:id="29" w:name="high-level-mermaid-diagram"/>
    <w:p>
      <w:pPr>
        <w:pStyle w:val="Heading2"/>
      </w:pPr>
      <w:r>
        <w:t xml:space="preserve">High-Level Mermaid Diagram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A[Sender] --&gt; B[CPI]</w:t>
      </w:r>
      <w:r>
        <w:br/>
      </w:r>
      <w:r>
        <w:rPr>
          <w:rStyle w:val="VerbatimChar"/>
        </w:rPr>
        <w:t xml:space="preserve">    B --&gt; C[Receiver]</w:t>
      </w:r>
      <w:r>
        <w:br/>
      </w:r>
      <w:r>
        <w:rPr>
          <w:rStyle w:val="VerbatimChar"/>
        </w:rPr>
        <w:t xml:space="preserve">    C --&gt; D[OData API]</w:t>
      </w:r>
      <w:r>
        <w:br/>
      </w:r>
      <w:r>
        <w:rPr>
          <w:rStyle w:val="VerbatimChar"/>
        </w:rPr>
        <w:t xml:space="preserve">    D --&gt; C</w:t>
      </w:r>
      <w:r>
        <w:br/>
      </w:r>
      <w:r>
        <w:rPr>
          <w:rStyle w:val="VerbatimChar"/>
        </w:rPr>
        <w:t xml:space="preserve">    C --&gt; B</w:t>
      </w:r>
      <w:r>
        <w:br/>
      </w:r>
      <w:r>
        <w:rPr>
          <w:rStyle w:val="VerbatimChar"/>
        </w:rPr>
        <w:t xml:space="preserve">    B --&gt; A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2025-12-11T12:29:57Z</dcterms:created>
  <dcterms:modified xsi:type="dcterms:W3CDTF">2025-12-11T12:29:57Z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