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iflow1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1.1 Purpose</w:t>
      </w:r>
    </w:p>
    <w:p>
      <w:r>
        <w:t>1.2 Scope</w:t>
      </w:r>
    </w:p>
    <w:p>
      <w:r>
        <w:t>2. Integration Overview</w:t>
      </w:r>
    </w:p>
    <w:p>
      <w:r>
        <w:t>3. Integration Scenarios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**SAP CPI Technical Documentation**</w:t>
      </w:r>
    </w:p>
    <w:p>
      <w:r>
        <w:t>=====================================</w:t>
      </w:r>
    </w:p>
    <w:p/>
    <w:p>
      <w:r>
        <w:t>### Purpose</w:t>
      </w:r>
    </w:p>
    <w:p/>
    <w:p>
      <w:r>
        <w:t>The purpose of this documentation is to provide a detailed overview of the iflow1 integration flow in SAP Cloud Platform Integration (CPI). This iflow is designed to facilitate communication between a sender and a receiver, with an integration process in between.</w:t>
      </w:r>
    </w:p>
    <w:p/>
    <w:p>
      <w:r>
        <w:t>### Sender / Receiver</w:t>
      </w:r>
    </w:p>
    <w:p/>
    <w:p>
      <w:r>
        <w:t>*   **Sender:** The sender is represented by the participant "Participant_1" in the iflow definition. It is configured as an Endpoint Sender.</w:t>
      </w:r>
    </w:p>
    <w:p>
      <w:r>
        <w:t>*   **Receiver:** The receiver is represented by the participant "Participant_2" in the iflow definition. It is configured as an Endpoint Receiver.</w:t>
      </w:r>
    </w:p>
    <w:p/>
    <w:p>
      <w:r>
        <w:t>### Adapters</w:t>
      </w:r>
    </w:p>
    <w:p/>
    <w:p>
      <w:r>
        <w:t>*   **Sender Adapter:** Not explicitly defined in the provided iflow definition. However, in a typical scenario, the sender adapter would be responsible for connecting to the sender system and retrieving or sending data.</w:t>
      </w:r>
    </w:p>
    <w:p>
      <w:r>
        <w:t>*   **Receiver Adapter:** Not explicitly defined in the provided iflow definition. However, in a typical scenario, the receiver adapter would be responsible for connecting to the receiver system and sending or retrieving data.</w:t>
      </w:r>
    </w:p>
    <w:p/>
    <w:p>
      <w:r>
        <w:t>### Flow Logic</w:t>
      </w:r>
    </w:p>
    <w:p/>
    <w:p>
      <w:r>
        <w:t>The flow logic of iflow1 is as follows:</w:t>
      </w:r>
    </w:p>
    <w:p/>
    <w:p>
      <w:r>
        <w:t>1.  The integration process starts with a **Start Event** (StartEvent_2).</w:t>
      </w:r>
    </w:p>
    <w:p>
      <w:r>
        <w:t>2.  The start event triggers a **Sequence Flow** (SequenceFlow_3) that connects the start event to the **End Event** (EndEvent_2).</w:t>
      </w:r>
    </w:p>
    <w:p>
      <w:r>
        <w:t>3.  The end event marks the end of the integration process.</w:t>
      </w:r>
    </w:p>
    <w:p/>
    <w:p>
      <w:r>
        <w:t>### Error Handling</w:t>
      </w:r>
    </w:p>
    <w:p/>
    <w:p>
      <w:r>
        <w:t>Error handling in iflow1 is configured through the following properties:</w:t>
      </w:r>
    </w:p>
    <w:p/>
    <w:p>
      <w:r>
        <w:t>*   **Return Exception to Sender:** Set to "false", which means that exceptions are not returned to the sender.</w:t>
      </w:r>
    </w:p>
    <w:p>
      <w:r>
        <w:t>*   **Log:** Set to "All events", which means that all events, including errors, are logged.</w:t>
      </w:r>
    </w:p>
    <w:p>
      <w:r>
        <w:t>*   **Transaction Handling:** Set to "Not Required", which means that the integration process does not require transactional handling.</w:t>
      </w:r>
    </w:p>
    <w:p/>
    <w:p>
      <w:r>
        <w:t>**Note:** The error handling configuration may need to be adjusted based on the specific requirements of the integration scenario.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97280" cy="10972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A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109728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drawing>
        <wp:inline xmlns:a="http://schemas.openxmlformats.org/drawingml/2006/main" xmlns:pic="http://schemas.openxmlformats.org/drawingml/2006/picture">
          <wp:extent cx="1097280" cy="109728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m_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7280" cy="10972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