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Practice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rPr>
          <w:b/>
        </w:rPr>
        <w:t>1. Introduction</w:t>
      </w:r>
    </w:p>
    <w:p>
      <w:r>
        <w:t>The Practice iFlow is a collaboration of participants and processes designed to facilitate message exchange between a sender and a receiver.</w:t>
      </w:r>
    </w:p>
    <w:p>
      <w:r>
        <w:rPr>
          <w:b/>
        </w:rPr>
        <w:t>1.1 Purpose</w:t>
      </w:r>
    </w:p>
    <w:p>
      <w:r>
        <w:t>The purpose of this iFlow is to demonstrate a simple integration scenario where a message is sent from a sender to a receiver through an integration process.</w:t>
      </w:r>
    </w:p>
    <w:p>
      <w:r>
        <w:rPr>
          <w:b/>
        </w:rPr>
        <w:t>1.2 Scope</w:t>
      </w:r>
    </w:p>
    <w:p>
      <w:r>
        <w:t>The scope of this documentation is limited to the Practice iFlow and its components, including the sender, receiver, and integration process.</w:t>
      </w:r>
    </w:p>
    <w:p/>
    <w:p>
      <w:r>
        <w:rPr>
          <w:b/>
        </w:rPr>
        <w:t>2. Integration Overview</w:t>
      </w:r>
    </w:p>
    <w:p>
      <w:r>
        <w:t>The Practice iFlow is a basic integration scenario that consists of a sender, a receiver, and an integration process.</w:t>
      </w:r>
    </w:p>
    <w:p>
      <w:r>
        <w:rPr>
          <w:b/>
        </w:rPr>
        <w:t>2.1 Integration Architecture</w:t>
      </w:r>
    </w:p>
    <w:p>
      <w:r>
        <w:t>The integration architecture of the Practice iFlow consists of a sender participant, a receiver participant, and an integration process participant.</w:t>
      </w:r>
    </w:p>
    <w:p>
      <w:r>
        <w:rPr>
          <w:b/>
        </w:rPr>
        <w:t>2.2 Integration Components</w:t>
      </w:r>
    </w:p>
    <w:p>
      <w:r>
        <w:t>The integration components of the Practice iFlow include the sender, receiver, integration process, start event, and end event.</w:t>
      </w:r>
    </w:p>
    <w:p/>
    <w:p>
      <w:r>
        <w:rPr>
          <w:b/>
        </w:rPr>
        <w:t>3. Integration Scenarios</w:t>
      </w:r>
    </w:p>
    <w:p>
      <w:r>
        <w:t>The Practice iFlow supports a simple integration scenario where a message is sent from the sender to the receiver through the integration process.</w:t>
      </w:r>
    </w:p>
    <w:p>
      <w:r>
        <w:rPr>
          <w:b/>
        </w:rPr>
        <w:t>3.1 Scenario Description</w:t>
      </w:r>
    </w:p>
    <w:p>
      <w:r>
        <w:t>In this scenario, the sender initiates the message exchange by sending a message to the integration process, which then forwards the message to the receiver.</w:t>
      </w:r>
    </w:p>
    <w:p>
      <w:r>
        <w:rPr>
          <w:b/>
        </w:rPr>
        <w:t>3.2 Data Flows</w:t>
      </w:r>
    </w:p>
    <w:p>
      <w:r>
        <w:t>The data flow in this scenario is from the sender to the receiver through the integration process.</w:t>
      </w:r>
    </w:p>
    <w:p>
      <w:r>
        <w:rPr>
          <w:b/>
        </w:rPr>
        <w:t>3.3 Security Requirements</w:t>
      </w:r>
    </w:p>
    <w:p>
      <w:r>
        <w:t>The security requirements for this scenario include basic authentication, which is currently disabled for the sender participant.</w:t>
      </w:r>
    </w:p>
    <w:p/>
    <w:p>
      <w:r>
        <w:rPr>
          <w:b/>
        </w:rPr>
        <w:t>4. Error Handling and Logging</w:t>
      </w:r>
    </w:p>
    <w:p>
      <w:r>
        <w:t>Error handling and logging are not explicitly defined in the Practice iFlow, but the integration process has a transaction timeout of 30 seconds and transactional handling is set to Not Required.</w:t>
      </w:r>
    </w:p>
    <w:p/>
    <w:p>
      <w:r>
        <w:rPr>
          <w:b/>
        </w:rPr>
        <w:t>5. Testing Validation</w:t>
      </w:r>
    </w:p>
    <w:p>
      <w:r>
        <w:t>Testing and validation of the Practice iFlow are crucial to ensure that the integration scenario works as expected.</w:t>
      </w:r>
    </w:p>
    <w:p>
      <w:r>
        <w:t>This includes testing the sender, receiver, and integration process to ensure that messages are exchanged correctly.</w:t>
      </w:r>
    </w:p>
    <w:p/>
    <w:p>
      <w:r>
        <w:rPr>
          <w:b/>
        </w:rPr>
        <w:t>6. Reference Documents</w:t>
      </w:r>
    </w:p>
    <w:p>
      <w:r>
        <w:t>The reference documents for the Practice iFlow include the BPMN 2.0 specification and the SAP Cloud Platform Integration documentation.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05840" cy="10058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AP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5840" cy="1005840"/>
                  </a:xfrm>
                  <a:prstGeom prst="rect"/>
                </pic:spPr>
              </pic:pic>
            </a:graphicData>
          </a:graphic>
        </wp:inline>
      </w:drawing>
    </w:r>
    <w:r>
      <w:tab/>
      <w:tab/>
      <w:tab/>
    </w:r>
    <w:r>
      <w:drawing>
        <wp:inline xmlns:a="http://schemas.openxmlformats.org/drawingml/2006/main" xmlns:pic="http://schemas.openxmlformats.org/drawingml/2006/picture">
          <wp:extent cx="914400" cy="9144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m_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