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r>
    </w:p>
    <w:p>
      <w:pPr>
        <w:jc w:val="center"/>
      </w:pPr>
      <w:r>
        <w:rPr>
          <w:b/>
          <w:sz w:val="44"/>
        </w:rPr>
        <w:t>Email_Contents_to_PDF</w:t>
      </w:r>
    </w:p>
    <w:p>
      <w:r>
        <w:br/>
      </w:r>
    </w:p>
    <w:tbl>
      <w:tblPr>
        <w:tblStyle w:val="TableGrid"/>
        <w:tblW w:type="auto" w:w="0"/>
        <w:tblLook w:firstColumn="1" w:firstRow="1" w:lastColumn="0" w:lastRow="0" w:noHBand="0" w:noVBand="1" w:val="04A0"/>
      </w:tblPr>
      <w:tblGrid>
        <w:gridCol w:w="4320"/>
        <w:gridCol w:w="4320"/>
      </w:tblGrid>
      <w:tr>
        <w:tc>
          <w:tcPr>
            <w:tcW w:type="dxa" w:w="4320"/>
          </w:tcPr>
          <w:p>
            <w:r>
              <w:t>Author</w:t>
            </w:r>
          </w:p>
        </w:tc>
        <w:tc>
          <w:tcPr>
            <w:tcW w:type="dxa" w:w="4320"/>
          </w:tcPr>
          <w:p>
            <w:r/>
          </w:p>
        </w:tc>
      </w:tr>
      <w:tr>
        <w:tc>
          <w:tcPr>
            <w:tcW w:type="dxa" w:w="4320"/>
          </w:tcPr>
          <w:p>
            <w:r>
              <w:t>Date</w:t>
            </w:r>
          </w:p>
        </w:tc>
        <w:tc>
          <w:tcPr>
            <w:tcW w:type="dxa" w:w="4320"/>
          </w:tcPr>
          <w:p>
            <w:r>
              <w:t>2025-12-23</w:t>
            </w:r>
          </w:p>
        </w:tc>
      </w:tr>
      <w:tr>
        <w:tc>
          <w:tcPr>
            <w:tcW w:type="dxa" w:w="4320"/>
          </w:tcPr>
          <w:p>
            <w:r>
              <w:t>Version</w:t>
            </w:r>
          </w:p>
        </w:tc>
        <w:tc>
          <w:tcPr>
            <w:tcW w:type="dxa" w:w="4320"/>
          </w:tcPr>
          <w:p>
            <w:r>
              <w:t>Draft</w:t>
            </w:r>
          </w:p>
        </w:tc>
      </w:tr>
    </w:tbl>
    <w:p>
      <w:r>
        <w:br w:type="page"/>
      </w:r>
    </w:p>
    <w:p>
      <w:r>
        <w:rPr>
          <w:b/>
        </w:rPr>
        <w:t>Table of Contents</w:t>
      </w:r>
    </w:p>
    <w:p>
      <w:r>
        <w:t>1. Introduction</w:t>
      </w:r>
    </w:p>
    <w:p>
      <w:r>
        <w:t xml:space="preserve">    1.1 Purpose</w:t>
      </w:r>
    </w:p>
    <w:p>
      <w:r>
        <w:t xml:space="preserve">    1.2 Scope</w:t>
      </w:r>
    </w:p>
    <w:p>
      <w:r>
        <w:t>2. Integration Overview</w:t>
      </w:r>
    </w:p>
    <w:p>
      <w:r>
        <w:t xml:space="preserve">    2.1 Integration Architecture</w:t>
      </w:r>
    </w:p>
    <w:p>
      <w:r>
        <w:t xml:space="preserve">    2.2 Integration Components</w:t>
      </w:r>
    </w:p>
    <w:p>
      <w:r>
        <w:t>3. Integration Scenarios</w:t>
      </w:r>
    </w:p>
    <w:p>
      <w:r>
        <w:t xml:space="preserve">    3.1 Scenario Description</w:t>
      </w:r>
    </w:p>
    <w:p>
      <w:r>
        <w:t xml:space="preserve">    3.2 Data Flows</w:t>
      </w:r>
    </w:p>
    <w:p>
      <w:r>
        <w:t xml:space="preserve">    3.3 Security Requirements</w:t>
      </w:r>
    </w:p>
    <w:p>
      <w:r>
        <w:t>4. Error Handling and Logging</w:t>
      </w:r>
    </w:p>
    <w:p>
      <w:r>
        <w:t>5. Testing Validation</w:t>
      </w:r>
    </w:p>
    <w:p>
      <w:r>
        <w:t>6. Reference Documents</w:t>
      </w:r>
    </w:p>
    <w:p>
      <w:r>
        <w:br w:type="page"/>
      </w:r>
    </w:p>
    <w:p>
      <w:r>
        <w:rPr>
          <w:b/>
        </w:rPr>
        <w:t>1. Introduction</w:t>
      </w:r>
    </w:p>
    <w:p>
      <w:r>
        <w:rPr>
          <w:b/>
        </w:rPr>
        <w:t>1.1 Purpose</w:t>
      </w:r>
    </w:p>
    <w:p>
      <w:r>
        <w:t>The purpose of this documentation is to provide an overview of the Email_Contents_to_PDF iFlow, which is designed to integrate email contents with a PDF file. This documentation aims to provide a clear understanding of the iFlow's functionality, architecture, and configuration.</w:t>
      </w:r>
    </w:p>
    <w:p/>
    <w:p>
      <w:r>
        <w:rPr>
          <w:b/>
        </w:rPr>
        <w:t>1.2 Scope</w:t>
      </w:r>
    </w:p>
    <w:p>
      <w:r>
        <w:t>The scope of this documentation is limited to the Email_Contents_to_PDF iFlow and its components. It provides an in-depth analysis of the iFlow's design, configuration, and functionality.</w:t>
      </w:r>
    </w:p>
    <w:p/>
    <w:p>
      <w:r>
        <w:rPr>
          <w:b/>
        </w:rPr>
        <w:t>2. Integration Overview</w:t>
      </w:r>
    </w:p>
    <w:p>
      <w:r>
        <w:rPr>
          <w:b/>
        </w:rPr>
        <w:t>2.1 Integration Architecture</w:t>
      </w:r>
    </w:p>
    <w:p>
      <w:r>
        <w:t>The Email_Contents_to_PDF iFlow is built using the SAP Cloud Platform Integration (CPI) tool. The iFlow consists of several components, including a sender, a receiver, and an integration process. The sender is responsible for sending emails, the receiver is responsible for receiving emails, and the integration process is responsible for processing the email contents.</w:t>
      </w:r>
    </w:p>
    <w:p/>
    <w:p>
      <w:r>
        <w:rPr>
          <w:b/>
        </w:rPr>
        <w:t>2.2 Integration Components</w:t>
      </w:r>
    </w:p>
    <w:p>
      <w:r>
        <w:t>The Email_Contents_to_PDF iFlow consists of the following components:</w:t>
      </w:r>
    </w:p>
    <w:p>
      <w:r>
        <w:t>- Sender: IMAP adapter</w:t>
      </w:r>
    </w:p>
    <w:p>
      <w:r>
        <w:t>- Receiver: SMTP adapter</w:t>
      </w:r>
    </w:p>
    <w:p>
      <w:r>
        <w:t>- Integration Process: Groovy script, content modifier, and end event</w:t>
      </w:r>
    </w:p>
    <w:p/>
    <w:p>
      <w:r>
        <w:rPr>
          <w:b/>
        </w:rPr>
        <w:t>3. Integration Scenarios</w:t>
      </w:r>
    </w:p>
    <w:p>
      <w:r>
        <w:rPr>
          <w:b/>
        </w:rPr>
        <w:t>3.1 Scenario Description</w:t>
      </w:r>
    </w:p>
    <w:p>
      <w:r>
        <w:t>The Email_Contents_to_PDF iFlow is designed to integrate email contents with a PDF file. The scenario involves sending an email with a PDF attachment to a specified email address. The email contents are then processed and converted into a PDF file.</w:t>
      </w:r>
    </w:p>
    <w:p/>
    <w:p>
      <w:r>
        <w:rPr>
          <w:b/>
        </w:rPr>
        <w:t>3.2 Data Flows</w:t>
      </w:r>
    </w:p>
    <w:p>
      <w:r>
        <w:t>The data flows in the Email_Contents_to_PDF iFlow are as follows:</w:t>
      </w:r>
    </w:p>
    <w:p>
      <w:r>
        <w:t>- The sender sends an email with a PDF attachment to the specified email address.</w:t>
      </w:r>
    </w:p>
    <w:p>
      <w:r>
        <w:t>- The integration process receives the email and processes the email contents.</w:t>
      </w:r>
    </w:p>
    <w:p>
      <w:r>
        <w:t>- The content modifier is used to modify the email contents and convert them into a PDF file.</w:t>
      </w:r>
    </w:p>
    <w:p>
      <w:r>
        <w:t>- The end event is used to send the PDF file to the specified email address.</w:t>
      </w:r>
    </w:p>
    <w:p/>
    <w:p>
      <w:r>
        <w:rPr>
          <w:b/>
        </w:rPr>
        <w:t>3.3 Security Requirements</w:t>
      </w:r>
    </w:p>
    <w:p>
      <w:r>
        <w:t>The Email_Contents_to_PDF iFlow requires the following security measures:</w:t>
      </w:r>
    </w:p>
    <w:p>
      <w:r>
        <w:t>- Authentication: The sender and receiver adapters require authentication to send and receive emails.</w:t>
      </w:r>
    </w:p>
    <w:p>
      <w:r>
        <w:t>- Authorization: The integration process requires authorization to process the email contents.</w:t>
      </w:r>
    </w:p>
    <w:p>
      <w:r>
        <w:t>- Encryption: The email contents are encrypted to ensure data security.</w:t>
      </w:r>
    </w:p>
    <w:p/>
    <w:p>
      <w:r>
        <w:rPr>
          <w:b/>
        </w:rPr>
        <w:t>4. Error Handling and Logging</w:t>
      </w:r>
    </w:p>
    <w:p>
      <w:r>
        <w:t>The Email_Contents_to_PDF iFlow has error handling and logging mechanisms in place to handle any errors that may occur during the integration process. The iFlow logs all errors and exceptions that occur during the integration process, and sends notifications to the specified email address.</w:t>
      </w:r>
    </w:p>
    <w:p/>
    <w:p>
      <w:r>
        <w:rPr>
          <w:b/>
        </w:rPr>
        <w:t>5. Testing Validation</w:t>
      </w:r>
    </w:p>
    <w:p>
      <w:r>
        <w:t>The Email_Contents_to_PDF iFlow has been tested and validated to ensure that it functions as expected. The iFlow has been tested with different email scenarios, and the results have been validated to ensure that the iFlow is working correctly.</w:t>
      </w:r>
    </w:p>
    <w:p/>
    <w:p>
      <w:r>
        <w:rPr>
          <w:b/>
        </w:rPr>
        <w:t>6. Reference Documents</w:t>
      </w:r>
    </w:p>
    <w:p>
      <w:r>
        <w:t>The Email_Contents_to_PDF iFlow documentation is based on the following reference documents:</w:t>
      </w:r>
    </w:p>
    <w:p>
      <w:r>
        <w:t>- SAP Cloud Platform Integration documentation</w:t>
      </w:r>
    </w:p>
    <w:p>
      <w:r>
        <w:t>- IMAP adapter documentation</w:t>
      </w:r>
    </w:p>
    <w:p>
      <w:r>
        <w:t>- SMTP adapter documentation</w:t>
      </w:r>
    </w:p>
    <w:p>
      <w:r>
        <w:t>- Groovy script documentation</w:t>
      </w:r>
    </w:p>
    <w:p>
      <w:r>
        <w:t>- Content modifier documentation</w:t>
      </w:r>
    </w:p>
    <w:p>
      <w:r>
        <w:t>- End event documentation</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fixed"/>
      <w:tblLook w:firstColumn="1" w:firstRow="1" w:lastColumn="0" w:lastRow="0" w:noHBand="0" w:noVBand="1" w:val="04A0"/>
    </w:tblPr>
    <w:tblGrid>
      <w:gridCol w:w="4680"/>
      <w:gridCol w:w="4680"/>
    </w:tblGrid>
    <w:tr>
      <w:tc>
        <w:tcPr>
          <w:tcW w:type="dxa" w:w="4680"/>
        </w:tcPr>
        <w:p>
          <w:pPr>
            <w:jc w:val="left"/>
          </w:pPr>
          <w:r>
            <w:drawing>
              <wp:inline xmlns:a="http://schemas.openxmlformats.org/drawingml/2006/main" xmlns:pic="http://schemas.openxmlformats.org/drawingml/2006/picture">
                <wp:extent cx="1097280" cy="1097280"/>
                <wp:docPr id="1" name="Picture 1"/>
                <wp:cNvGraphicFramePr>
                  <a:graphicFrameLocks noChangeAspect="1"/>
                </wp:cNvGraphicFramePr>
                <a:graphic>
                  <a:graphicData uri="http://schemas.openxmlformats.org/drawingml/2006/picture">
                    <pic:pic>
                      <pic:nvPicPr>
                        <pic:cNvPr id="0" name="SAP.jpg"/>
                        <pic:cNvPicPr/>
                      </pic:nvPicPr>
                      <pic:blipFill>
                        <a:blip r:embed="rId1"/>
                        <a:stretch>
                          <a:fillRect/>
                        </a:stretch>
                      </pic:blipFill>
                      <pic:spPr>
                        <a:xfrm>
                          <a:off x="0" y="0"/>
                          <a:ext cx="1097280" cy="1097280"/>
                        </a:xfrm>
                        <a:prstGeom prst="rect"/>
                      </pic:spPr>
                    </pic:pic>
                  </a:graphicData>
                </a:graphic>
              </wp:inline>
            </w:drawing>
          </w:r>
        </w:p>
      </w:tc>
      <w:tc>
        <w:tcPr>
          <w:tcW w:type="dxa" w:w="4680"/>
        </w:tcPr>
        <w:p>
          <w:pPr>
            <w:jc w:val="right"/>
          </w:pPr>
          <w:r>
            <w:drawing>
              <wp:inline xmlns:a="http://schemas.openxmlformats.org/drawingml/2006/main" xmlns:pic="http://schemas.openxmlformats.org/drawingml/2006/picture">
                <wp:extent cx="1097280" cy="1097280"/>
                <wp:docPr id="2" name="Picture 2"/>
                <wp:cNvGraphicFramePr>
                  <a:graphicFrameLocks noChangeAspect="1"/>
                </wp:cNvGraphicFramePr>
                <a:graphic>
                  <a:graphicData uri="http://schemas.openxmlformats.org/drawingml/2006/picture">
                    <pic:pic>
                      <pic:nvPicPr>
                        <pic:cNvPr id="0" name="mm_logo.png"/>
                        <pic:cNvPicPr/>
                      </pic:nvPicPr>
                      <pic:blipFill>
                        <a:blip r:embed="rId2"/>
                        <a:stretch>
                          <a:fillRect/>
                        </a:stretch>
                      </pic:blipFill>
                      <pic:spPr>
                        <a:xfrm>
                          <a:off x="0" y="0"/>
                          <a:ext cx="1097280" cy="1097280"/>
                        </a:xfrm>
                        <a:prstGeom prst="rect"/>
                      </pic:spPr>
                    </pic:pic>
                  </a:graphicData>
                </a:graphic>
              </wp:inline>
            </w:drawing>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