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/>
        <w:br/>
      </w:r>
    </w:p>
    <w:p>
      <w:pPr>
        <w:jc w:val="center"/>
      </w:pPr>
      <w:r>
        <w:rPr>
          <w:b/>
          <w:sz w:val="44"/>
        </w:rPr>
        <w:t>Odata_Mass_PDF_upload</w:t>
      </w:r>
    </w:p>
    <w:p>
      <w:r>
        <w:br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Author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Date</w:t>
            </w:r>
          </w:p>
        </w:tc>
        <w:tc>
          <w:tcPr>
            <w:tcW w:type="dxa" w:w="4320"/>
          </w:tcPr>
          <w:p>
            <w:r>
              <w:t>2025-12-23</w:t>
            </w:r>
          </w:p>
        </w:tc>
      </w:tr>
      <w:tr>
        <w:tc>
          <w:tcPr>
            <w:tcW w:type="dxa" w:w="4320"/>
          </w:tcPr>
          <w:p>
            <w:r>
              <w:t>Version</w:t>
            </w:r>
          </w:p>
        </w:tc>
        <w:tc>
          <w:tcPr>
            <w:tcW w:type="dxa" w:w="4320"/>
          </w:tcPr>
          <w:p>
            <w:r>
              <w:t>Draft</w:t>
            </w:r>
          </w:p>
        </w:tc>
      </w:tr>
    </w:tbl>
    <w:p>
      <w:r>
        <w:br w:type="page"/>
      </w:r>
    </w:p>
    <w:p>
      <w:r>
        <w:rPr>
          <w:b/>
        </w:rPr>
        <w:t>Table of Contents</w:t>
      </w:r>
    </w:p>
    <w:p>
      <w:r>
        <w:t>1. Introduction</w:t>
      </w:r>
    </w:p>
    <w:p>
      <w:r>
        <w:t xml:space="preserve">    1.1 Purpose</w:t>
      </w:r>
    </w:p>
    <w:p>
      <w:r>
        <w:t xml:space="preserve">    1.2 Scope</w:t>
      </w:r>
    </w:p>
    <w:p>
      <w:r>
        <w:t>2. Integration Overview</w:t>
      </w:r>
    </w:p>
    <w:p>
      <w:r>
        <w:t xml:space="preserve">    2.1 Integration Architecture</w:t>
      </w:r>
    </w:p>
    <w:p>
      <w:r>
        <w:t xml:space="preserve">    2.2 Integration Components</w:t>
      </w:r>
    </w:p>
    <w:p>
      <w:r>
        <w:t>3. Integration Scenarios</w:t>
      </w:r>
    </w:p>
    <w:p>
      <w:r>
        <w:t xml:space="preserve">    3.1 Scenario Description</w:t>
      </w:r>
    </w:p>
    <w:p>
      <w:r>
        <w:t xml:space="preserve">    3.2 Data Flows</w:t>
      </w:r>
    </w:p>
    <w:p>
      <w:r>
        <w:t xml:space="preserve">    3.3 Security Requirements</w:t>
      </w:r>
    </w:p>
    <w:p>
      <w:r>
        <w:t>4. Error Handling and Logging</w:t>
      </w:r>
    </w:p>
    <w:p>
      <w:r>
        <w:t>5. Testing Validation</w:t>
      </w:r>
    </w:p>
    <w:p>
      <w:r>
        <w:t>6. Reference Documents</w:t>
      </w:r>
    </w:p>
    <w:p>
      <w:r>
        <w:br w:type="page"/>
      </w:r>
    </w:p>
    <w:p>
      <w:r>
        <w:t>1 Introduction</w:t>
      </w:r>
    </w:p>
    <w:p>
      <w:r>
        <w:t xml:space="preserve">The purpose of this document is to provide a detailed description of the Odata_Mass_PDF_upload iflow </w:t>
      </w:r>
    </w:p>
    <w:p>
      <w:r>
        <w:rPr>
          <w:b/>
        </w:rPr>
        <w:t>1.1 Purpose</w:t>
      </w:r>
    </w:p>
    <w:p>
      <w:r>
        <w:t>The purpose of this iflow is to provide an integration solution for uploading mass PDF files to an OData service</w:t>
      </w:r>
    </w:p>
    <w:p>
      <w:r>
        <w:rPr>
          <w:b/>
        </w:rPr>
        <w:t>1.2 Scope</w:t>
      </w:r>
    </w:p>
    <w:p>
      <w:r>
        <w:t>The scope of this document includes the design and implementation of the iflow, including the integration architecture, components, and security requirements</w:t>
      </w:r>
    </w:p>
    <w:p/>
    <w:p>
      <w:r>
        <w:t>2 Integration Overview</w:t>
      </w:r>
    </w:p>
    <w:p>
      <w:r>
        <w:t>The iflow is designed to integrate with an OData service to upload mass PDF files</w:t>
      </w:r>
    </w:p>
    <w:p>
      <w:r>
        <w:rPr>
          <w:b/>
        </w:rPr>
        <w:t>2.1 Integration Architecture</w:t>
      </w:r>
    </w:p>
    <w:p>
      <w:r>
        <w:t>The integration architecture consists of a sender, a receiver, and an integration process</w:t>
      </w:r>
    </w:p>
    <w:p>
      <w:r>
        <w:t>The sender is the component that sends the request to upload the PDF files</w:t>
      </w:r>
    </w:p>
    <w:p>
      <w:r>
        <w:t>The receiver is the component that receives the request and sends it to the OData service</w:t>
      </w:r>
    </w:p>
    <w:p>
      <w:r>
        <w:t>The integration process is the component that processes the request and sends the response back to the sender</w:t>
      </w:r>
    </w:p>
    <w:p>
      <w:r>
        <w:rPr>
          <w:b/>
        </w:rPr>
        <w:t>2.2 Integration Components</w:t>
      </w:r>
    </w:p>
    <w:p>
      <w:r>
        <w:t>The iflow consists of several components, including the sender, receiver, integration process, and OData service</w:t>
      </w:r>
    </w:p>
    <w:p>
      <w:r>
        <w:t>Each component plays a crucial role in the integration process</w:t>
      </w:r>
    </w:p>
    <w:p/>
    <w:p>
      <w:r>
        <w:t>3 Integration Scenarios</w:t>
      </w:r>
    </w:p>
    <w:p>
      <w:r>
        <w:t>The iflow supports several integration scenarios, including uploading mass PDF files to an OData service</w:t>
      </w:r>
    </w:p>
    <w:p>
      <w:r>
        <w:rPr>
          <w:b/>
        </w:rPr>
        <w:t>3.1 Scenario Description</w:t>
      </w:r>
    </w:p>
    <w:p>
      <w:r>
        <w:t>The scenario involves sending a request to upload mass PDF files to an OData service</w:t>
      </w:r>
    </w:p>
    <w:p>
      <w:r>
        <w:t>The request is sent by the sender and received by the receiver</w:t>
      </w:r>
    </w:p>
    <w:p>
      <w:r>
        <w:t>The receiver then sends the request to the OData service</w:t>
      </w:r>
    </w:p>
    <w:p>
      <w:r>
        <w:rPr>
          <w:b/>
        </w:rPr>
        <w:t>3.2 Data Flows</w:t>
      </w:r>
    </w:p>
    <w:p>
      <w:r>
        <w:t>The data flows in the iflow involve the sender sending a request to the receiver</w:t>
      </w:r>
    </w:p>
    <w:p>
      <w:r>
        <w:t>The receiver then sends the request to the OData service</w:t>
      </w:r>
    </w:p>
    <w:p>
      <w:r>
        <w:t>The OData service then processes the request and sends a response back to the receiver</w:t>
      </w:r>
    </w:p>
    <w:p>
      <w:r>
        <w:t>The receiver then sends the response back to the sender</w:t>
      </w:r>
    </w:p>
    <w:p>
      <w:r>
        <w:rPr>
          <w:b/>
        </w:rPr>
        <w:t>3.3 Security Requirements</w:t>
      </w:r>
    </w:p>
    <w:p>
      <w:r>
        <w:t>The iflow requires several security measures to be implemented, including authentication and authorization</w:t>
      </w:r>
    </w:p>
    <w:p/>
    <w:p>
      <w:r>
        <w:t>4 Error Handling and Logging</w:t>
      </w:r>
    </w:p>
    <w:p>
      <w:r>
        <w:t>The iflow is designed to handle errors and log messages to ensure that any issues are identified and resolved quickly</w:t>
      </w:r>
    </w:p>
    <w:p>
      <w:r>
        <w:t>The iflow uses a combination of error handling mechanisms and logging to ensure that errors are handled properly</w:t>
      </w:r>
    </w:p>
    <w:p/>
    <w:p>
      <w:r>
        <w:t>5 Testing Validation</w:t>
      </w:r>
    </w:p>
    <w:p>
      <w:r>
        <w:t>The iflow has been tested and validated to ensure that it works as expected</w:t>
      </w:r>
    </w:p>
    <w:p>
      <w:r>
        <w:t>The testing and validation involved sending requests to the iflow and verifying that the responses were correct</w:t>
      </w:r>
    </w:p>
    <w:p/>
    <w:p>
      <w:r>
        <w:t>6 Reference Documents</w:t>
      </w:r>
    </w:p>
    <w:p>
      <w:r>
        <w:t>The iflow is based on several reference documents, including the OData specification and the SAP Cloud Platform Integration documentation</w:t>
      </w:r>
    </w:p>
    <w:p>
      <w:r>
        <w:t>The iflow also uses several SAP Cloud Platform Integration components, including the sender, receiver, and integration process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4680"/>
      <w:gridCol w:w="4680"/>
    </w:tblGrid>
    <w:tr>
      <w:tc>
        <w:tcPr>
          <w:tcW w:type="dxa" w:w="4680"/>
        </w:tcPr>
        <w:p>
          <w:pPr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097280" cy="109728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SAP.jp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97280" cy="109728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1097280" cy="109728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mm_logo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97280" cy="109728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