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ap-cpi-integration-flow-documentation"/>
    <w:p>
      <w:pPr>
        <w:pStyle w:val="Heading1"/>
      </w:pPr>
      <w:r>
        <w:t xml:space="preserve">SAP CPI Integration Flow Documentation</w: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document provides a comprehensive overview of the integration flow defined in the provided iFlow XML configuration. The integration flow is designed to facilitate communication between a sender and a receiver, encapsulated within a defined process.</w:t>
      </w:r>
    </w:p>
    <w:bookmarkEnd w:id="20"/>
    <w:bookmarkStart w:id="21" w:name="iflow-structure"/>
    <w:p>
      <w:pPr>
        <w:pStyle w:val="Heading2"/>
      </w:pPr>
      <w:r>
        <w:t xml:space="preserve">2. iFlow Structure</w:t>
      </w:r>
    </w:p>
    <w:p>
      <w:pPr>
        <w:pStyle w:val="FirstParagraph"/>
      </w:pPr>
      <w:r>
        <w:t xml:space="preserve">The iFlow is structured using BPMN (Business Process Model and Notation) and consists of the following key components: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Collaboration</w:t>
      </w:r>
      <w:r>
        <w:t xml:space="preserve">: Defines the participants involved in the integration.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Process</w:t>
      </w:r>
      <w:r>
        <w:t xml:space="preserve">: Contains the logic of the integration flow.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Events</w:t>
      </w:r>
      <w:r>
        <w:t xml:space="preserve">: Start and end events that trigger the flow.</w:t>
      </w:r>
    </w:p>
    <w:bookmarkEnd w:id="21"/>
    <w:bookmarkStart w:id="23" w:name="participants"/>
    <w:p>
      <w:pPr>
        <w:pStyle w:val="Heading2"/>
      </w:pPr>
      <w:r>
        <w:t xml:space="preserve">3. Participants</w:t>
      </w:r>
    </w:p>
    <w:p>
      <w:pPr>
        <w:pStyle w:val="FirstParagraph"/>
      </w:pPr>
      <w:r>
        <w:t xml:space="preserve">The integration flow includes two main participants: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Sender</w:t>
      </w:r>
      <w:r>
        <w:t xml:space="preserve">: Represents the endpoint that initiates the integration.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Receiver</w:t>
      </w:r>
      <w:r>
        <w:t xml:space="preserve">: Represents the endpoint that receives the messages.</w:t>
      </w:r>
    </w:p>
    <w:bookmarkStart w:id="22" w:name="participant-details"/>
    <w:p>
      <w:pPr>
        <w:pStyle w:val="Heading3"/>
      </w:pPr>
      <w:r>
        <w:t xml:space="preserve">Participant Details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Sender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Type: EndpointSender</w:t>
      </w:r>
    </w:p>
    <w:p>
      <w:pPr>
        <w:numPr>
          <w:ilvl w:val="1"/>
          <w:numId w:val="1002"/>
        </w:numPr>
        <w:pStyle w:val="Compact"/>
      </w:pPr>
      <w:r>
        <w:t xml:space="preserve">Basic Authentication: Disabled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Receiver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Type: EndpointReceiver</w:t>
      </w:r>
    </w:p>
    <w:bookmarkEnd w:id="22"/>
    <w:bookmarkEnd w:id="23"/>
    <w:bookmarkStart w:id="25" w:name="process-definition"/>
    <w:p>
      <w:pPr>
        <w:pStyle w:val="Heading2"/>
      </w:pPr>
      <w:r>
        <w:t xml:space="preserve">4. Process Definition</w:t>
      </w:r>
    </w:p>
    <w:p>
      <w:pPr>
        <w:pStyle w:val="FirstParagraph"/>
      </w:pPr>
      <w:r>
        <w:t xml:space="preserve">The integration process is defined with the following characteristics: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ID</w:t>
      </w:r>
      <w:r>
        <w:t xml:space="preserve">: Process_1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Name</w:t>
      </w:r>
      <w:r>
        <w:t xml:space="preserve">: Integration Process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Transaction Timeout</w:t>
      </w:r>
      <w:r>
        <w:t xml:space="preserve">: 30 seconds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Transactional Handling</w:t>
      </w:r>
      <w:r>
        <w:t xml:space="preserve">: Not Required</w:t>
      </w:r>
    </w:p>
    <w:bookmarkStart w:id="24" w:name="events"/>
    <w:p>
      <w:pPr>
        <w:pStyle w:val="Heading3"/>
      </w:pPr>
      <w:r>
        <w:t xml:space="preserve">Events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Start Event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ID: StartEvent_2</w:t>
      </w:r>
    </w:p>
    <w:p>
      <w:pPr>
        <w:numPr>
          <w:ilvl w:val="1"/>
          <w:numId w:val="1005"/>
        </w:numPr>
        <w:pStyle w:val="Compact"/>
      </w:pPr>
      <w:r>
        <w:t xml:space="preserve">Name: Start</w:t>
      </w:r>
    </w:p>
    <w:p>
      <w:pPr>
        <w:numPr>
          <w:ilvl w:val="1"/>
          <w:numId w:val="1005"/>
        </w:numPr>
        <w:pStyle w:val="Compact"/>
      </w:pPr>
      <w:r>
        <w:t xml:space="preserve">Component Version: 1.0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End Event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ID: EndEvent_2</w:t>
      </w:r>
    </w:p>
    <w:p>
      <w:pPr>
        <w:numPr>
          <w:ilvl w:val="1"/>
          <w:numId w:val="1006"/>
        </w:numPr>
        <w:pStyle w:val="Compact"/>
      </w:pPr>
      <w:r>
        <w:t xml:space="preserve">Name: End</w:t>
      </w:r>
    </w:p>
    <w:p>
      <w:pPr>
        <w:numPr>
          <w:ilvl w:val="1"/>
          <w:numId w:val="1006"/>
        </w:numPr>
        <w:pStyle w:val="Compact"/>
      </w:pPr>
      <w:r>
        <w:t xml:space="preserve">Component Version: 1.1</w:t>
      </w:r>
    </w:p>
    <w:bookmarkEnd w:id="24"/>
    <w:bookmarkEnd w:id="25"/>
    <w:bookmarkStart w:id="26" w:name="sequence-flow"/>
    <w:p>
      <w:pPr>
        <w:pStyle w:val="Heading2"/>
      </w:pPr>
      <w:r>
        <w:t xml:space="preserve">5. Sequence Flow</w:t>
      </w:r>
    </w:p>
    <w:p>
      <w:pPr>
        <w:pStyle w:val="FirstParagraph"/>
      </w:pPr>
      <w:r>
        <w:t xml:space="preserve">The sequence flow connects the start and end events: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ID</w:t>
      </w:r>
      <w:r>
        <w:t xml:space="preserve">: SequenceFlow_3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Source</w:t>
      </w:r>
      <w:r>
        <w:t xml:space="preserve">: StartEvent_2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Target</w:t>
      </w:r>
      <w:r>
        <w:t xml:space="preserve">: EndEvent_2</w:t>
      </w:r>
    </w:p>
    <w:bookmarkEnd w:id="26"/>
    <w:bookmarkStart w:id="27" w:name="extension-elements"/>
    <w:p>
      <w:pPr>
        <w:pStyle w:val="Heading2"/>
      </w:pPr>
      <w:r>
        <w:t xml:space="preserve">6. Extension Elements</w:t>
      </w:r>
    </w:p>
    <w:p>
      <w:pPr>
        <w:pStyle w:val="FirstParagraph"/>
      </w:pPr>
      <w:r>
        <w:t xml:space="preserve">The iFlow includes several extension elements that provide additional configuration options: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Logging</w:t>
      </w:r>
      <w:r>
        <w:t xml:space="preserve">: All events are logged.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CORS</w:t>
      </w:r>
      <w:r>
        <w:t xml:space="preserve">: Disabled.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Return Exception to Sender</w:t>
      </w:r>
      <w:r>
        <w:t xml:space="preserve">: False.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Component Version</w:t>
      </w:r>
      <w:r>
        <w:t xml:space="preserve">: 1.2.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Transaction Timeout</w:t>
      </w:r>
      <w:r>
        <w:t xml:space="preserve">: 30 seconds.</w:t>
      </w:r>
    </w:p>
    <w:bookmarkEnd w:id="27"/>
    <w:bookmarkStart w:id="28" w:name="properties"/>
    <w:p>
      <w:pPr>
        <w:pStyle w:val="Heading2"/>
      </w:pPr>
      <w:r>
        <w:t xml:space="preserve">7. Properties</w:t>
      </w:r>
    </w:p>
    <w:p>
      <w:pPr>
        <w:pStyle w:val="FirstParagraph"/>
      </w:pPr>
      <w:r>
        <w:t xml:space="preserve">The following properties are defined within the iFlow: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Namespace Mapping</w:t>
      </w:r>
      <w:r>
        <w:t xml:space="preserve">: Not specified.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HTTP Session Handling</w:t>
      </w:r>
      <w:r>
        <w:t xml:space="preserve">: None.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Access Control Max Age</w:t>
      </w:r>
      <w:r>
        <w:t xml:space="preserve">: Not specified.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Allowed Origins</w:t>
      </w:r>
      <w:r>
        <w:t xml:space="preserve">: Not specified.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Allowed Headers</w:t>
      </w:r>
      <w:r>
        <w:t xml:space="preserve">: Not specified.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Allowed Methods</w:t>
      </w:r>
      <w:r>
        <w:t xml:space="preserve">: Not specified.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Access Control Allow Credentials</w:t>
      </w:r>
      <w:r>
        <w:t xml:space="preserve">: False.</w:t>
      </w:r>
    </w:p>
    <w:bookmarkEnd w:id="28"/>
    <w:bookmarkStart w:id="29" w:name="bpmn-diagram"/>
    <w:p>
      <w:pPr>
        <w:pStyle w:val="Heading2"/>
      </w:pPr>
      <w:r>
        <w:t xml:space="preserve">8. BPMN Diagram</w:t>
      </w:r>
    </w:p>
    <w:p>
      <w:pPr>
        <w:pStyle w:val="FirstParagraph"/>
      </w:pPr>
      <w:r>
        <w:t xml:space="preserve">The BPMN diagram visually represents the integration flow, showing the start and end events, as well as the participants involved. The diagram includes: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Start Event</w:t>
      </w:r>
      <w:r>
        <w:t xml:space="preserve">: Positioned at coordinates (292.0, 142.0).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End Event</w:t>
      </w:r>
      <w:r>
        <w:t xml:space="preserve">: Positioned at coordinates (703.0, 142.0).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Participants</w:t>
      </w:r>
      <w:r>
        <w:t xml:space="preserve">: Sender and Receiver are represented with their respective shapes.</w:t>
      </w:r>
    </w:p>
    <w:bookmarkEnd w:id="29"/>
    <w:bookmarkStart w:id="30" w:name="versioning"/>
    <w:p>
      <w:pPr>
        <w:pStyle w:val="Heading2"/>
      </w:pPr>
      <w:r>
        <w:t xml:space="preserve">9. Versioning</w:t>
      </w:r>
    </w:p>
    <w:p>
      <w:pPr>
        <w:pStyle w:val="FirstParagraph"/>
      </w:pPr>
      <w:r>
        <w:t xml:space="preserve">The integration flow is versioned with the following details: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Component Version</w:t>
      </w:r>
      <w:r>
        <w:t xml:space="preserve">: 1.2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Flow Element Variant</w:t>
      </w:r>
      <w:r>
        <w:t xml:space="preserve">: IntegrationProcess/version::1.2.1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Message Start Event Variant</w:t>
      </w:r>
      <w:r>
        <w:t xml:space="preserve">: MessageStartEvent/version::1.0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Message End Event Variant</w:t>
      </w:r>
      <w:r>
        <w:t xml:space="preserve">: MessageEndEvent/version::1.1.0</w:t>
      </w:r>
    </w:p>
    <w:bookmarkEnd w:id="30"/>
    <w:bookmarkStart w:id="31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This documentation provides a detailed overview of the integration flow defined in the provided iFlow XML. The flow facilitates communication between a sender and a receiver, with a clear structure and defined properties to ensure proper functioning within the SAP CPI environment.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2025-12-09T09:23:32Z</dcterms:created>
  <dcterms:modified xsi:type="dcterms:W3CDTF">2025-12-09T09:23:32Z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