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3864"/>
          <w:sz w:val="64"/>
        </w:rPr>
        <w:t>iflow1</w:t>
      </w:r>
    </w:p>
    <w:p>
      <w:pPr>
        <w:jc w:val="center"/>
      </w:pPr>
      <w:r>
        <w:t>Technical Specification Document</w:t>
      </w:r>
    </w:p>
    <w:tbl>
      <w:tblPr>
        <w:tblStyle w:val="TableGrid"/>
        <w:tblW w:type="auto" w:w="0"/>
        <w:jc w:val="center"/>
        <w:tblLook w:firstColumn="1" w:firstRow="1" w:lastColumn="0" w:lastRow="0" w:noHBand="0" w:noVBand="1" w:val="04A0"/>
      </w:tblPr>
      <w:tblGrid>
        <w:gridCol w:w="4320"/>
        <w:gridCol w:w="4320"/>
      </w:tblGrid>
      <w:tr>
        <w:tc>
          <w:tcPr>
            <w:tcW w:type="dxa" w:w="4320"/>
          </w:tcPr>
          <w:p>
            <w:r>
              <w:t>Author:</w:t>
            </w:r>
          </w:p>
        </w:tc>
        <w:tc>
          <w:tcPr>
            <w:tcW w:type="dxa" w:w="4320"/>
          </w:tcPr>
          <w:p>
            <w:r>
              <w:t>Akila710</w:t>
            </w:r>
          </w:p>
        </w:tc>
      </w:tr>
      <w:tr>
        <w:tc>
          <w:tcPr>
            <w:tcW w:type="dxa" w:w="4320"/>
          </w:tcPr>
          <w:p>
            <w:r>
              <w:t>Date:</w:t>
            </w:r>
          </w:p>
        </w:tc>
        <w:tc>
          <w:tcPr>
            <w:tcW w:type="dxa" w:w="4320"/>
          </w:tcPr>
          <w:p>
            <w:r>
              <w:t>2026-01-07</w:t>
            </w:r>
          </w:p>
        </w:tc>
      </w:tr>
      <w:tr>
        <w:tc>
          <w:tcPr>
            <w:tcW w:type="dxa" w:w="4320"/>
          </w:tcPr>
          <w:p>
            <w:r>
              <w:t>Version:</w:t>
            </w:r>
          </w:p>
        </w:tc>
        <w:tc>
          <w:tcPr>
            <w:tcW w:type="dxa" w:w="4320"/>
          </w:tcPr>
          <w:p>
            <w:r>
              <w:t>1.0</w:t>
            </w:r>
          </w:p>
        </w:tc>
      </w:tr>
    </w:tbl>
    <w:p>
      <w:r>
        <w:br w:type="page"/>
      </w:r>
    </w:p>
    <w:p>
      <w:pPr>
        <w:pStyle w:val="Heading1"/>
      </w:pPr>
      <w:r>
        <w:t>Table of Contents</w:t>
      </w:r>
    </w:p>
    <w:p>
      <w:r>
        <w:t>1. Introduction</w:t>
      </w:r>
    </w:p>
    <w:p>
      <w:pPr>
        <w:ind w:left="432"/>
      </w:pPr>
      <w:r>
        <w:t xml:space="preserve">  1.1 Purpose</w:t>
      </w:r>
    </w:p>
    <w:p>
      <w:pPr>
        <w:ind w:left="432"/>
      </w:pPr>
      <w:r>
        <w:t xml:space="preserve">  1.2 Scope</w:t>
      </w:r>
    </w:p>
    <w:p>
      <w:r>
        <w:t>2. Integration Overview</w:t>
      </w:r>
    </w:p>
    <w:p>
      <w:pPr>
        <w:ind w:left="432"/>
      </w:pPr>
      <w:r>
        <w:t xml:space="preserve">  2.1 Integration Architecture</w:t>
      </w:r>
    </w:p>
    <w:p>
      <w:pPr>
        <w:ind w:left="432"/>
      </w:pPr>
      <w:r>
        <w:t xml:space="preserve">  2.2 Integration Components</w:t>
      </w:r>
    </w:p>
    <w:p>
      <w:r>
        <w:t>3. Integration Scenarios</w:t>
      </w:r>
    </w:p>
    <w:p>
      <w:pPr>
        <w:ind w:left="432"/>
      </w:pPr>
      <w:r>
        <w:t xml:space="preserve">  3.1 Scenario Description</w:t>
      </w:r>
    </w:p>
    <w:p>
      <w:pPr>
        <w:ind w:left="432"/>
      </w:pPr>
      <w:r>
        <w:t xml:space="preserve">  3.2 Data Flows</w:t>
      </w:r>
    </w:p>
    <w:p>
      <w:pPr>
        <w:ind w:left="432"/>
      </w:pPr>
      <w:r>
        <w:t xml:space="preserve">  3.3 Security Requirements</w:t>
      </w:r>
    </w:p>
    <w:p>
      <w:r>
        <w:t>4. Error Handling</w:t>
      </w:r>
    </w:p>
    <w:p>
      <w:r>
        <w:t>5. Testing Validation</w:t>
      </w:r>
    </w:p>
    <w:p>
      <w:r>
        <w:br w:type="page"/>
      </w:r>
    </w:p>
    <w:p>
      <w:pPr>
        <w:pStyle w:val="Heading1"/>
      </w:pPr>
      <w:r>
        <w:rPr>
          <w:color w:val="1F3864"/>
          <w:sz w:val="32"/>
        </w:rPr>
        <w:t>1. Introduction</w:t>
      </w:r>
    </w:p>
    <w:p>
      <w:pPr>
        <w:pStyle w:val="Heading2"/>
      </w:pPr>
      <w:r>
        <w:rPr>
          <w:color w:val="1F3864"/>
          <w:sz w:val="26"/>
        </w:rPr>
        <w:t>1.1 Purpose</w:t>
      </w:r>
    </w:p>
    <w:p>
      <w:r>
        <w:t>The iFlow 'iflow1' is designed to facilitate the integration between two disparate systems, ensuring smooth data exchange and transformation according to business requirements.</w:t>
      </w:r>
    </w:p>
    <w:p>
      <w:pPr>
        <w:pStyle w:val="Heading2"/>
      </w:pPr>
      <w:r>
        <w:rPr>
          <w:color w:val="1F3864"/>
          <w:sz w:val="26"/>
        </w:rPr>
        <w:t>1.2 Scope</w:t>
      </w:r>
    </w:p>
    <w:p>
      <w:r>
        <w:t>The scope includes data synchronization, transformation, and routing between the source system (System A) and the target system (System B). It encompasses error handling, logging, and monitoring functionalities to ensure reliability.</w:t>
      </w:r>
    </w:p>
    <w:p>
      <w:pPr>
        <w:pStyle w:val="Heading1"/>
      </w:pPr>
      <w:r>
        <w:rPr>
          <w:color w:val="1F3864"/>
          <w:sz w:val="32"/>
        </w:rPr>
        <w:t>2. Integration Overview</w:t>
      </w:r>
    </w:p>
    <w:p>
      <w:pPr>
        <w:pStyle w:val="Heading2"/>
      </w:pPr>
      <w:r>
        <w:rPr>
          <w:color w:val="1F3864"/>
          <w:sz w:val="26"/>
        </w:rPr>
        <w:t>2.1 Integration Architecture</w:t>
      </w:r>
    </w:p>
    <w:p>
      <w:pPr>
        <w:jc w:val="center"/>
      </w:pPr>
      <w:r>
        <w:drawing>
          <wp:inline xmlns:a="http://schemas.openxmlformats.org/drawingml/2006/main" xmlns:pic="http://schemas.openxmlformats.org/drawingml/2006/picture">
            <wp:extent cx="5029200" cy="11385550"/>
            <wp:docPr id="1" name="Picture 1"/>
            <wp:cNvGraphicFramePr>
              <a:graphicFrameLocks noChangeAspect="1"/>
            </wp:cNvGraphicFramePr>
            <a:graphic>
              <a:graphicData uri="http://schemas.openxmlformats.org/drawingml/2006/picture">
                <pic:pic>
                  <pic:nvPicPr>
                    <pic:cNvPr id="0" name="diagram.png"/>
                    <pic:cNvPicPr/>
                  </pic:nvPicPr>
                  <pic:blipFill>
                    <a:blip r:embed="rId10"/>
                    <a:stretch>
                      <a:fillRect/>
                    </a:stretch>
                  </pic:blipFill>
                  <pic:spPr>
                    <a:xfrm>
                      <a:off x="0" y="0"/>
                      <a:ext cx="5029200" cy="11385550"/>
                    </a:xfrm>
                    <a:prstGeom prst="rect"/>
                  </pic:spPr>
                </pic:pic>
              </a:graphicData>
            </a:graphic>
          </wp:inline>
        </w:drawing>
      </w:r>
    </w:p>
    <w:p>
      <w:pPr>
        <w:pStyle w:val="Heading2"/>
      </w:pPr>
      <w:r>
        <w:rPr>
          <w:color w:val="1F3864"/>
          <w:sz w:val="26"/>
        </w:rPr>
        <w:t>2.2 Integration Components</w:t>
      </w:r>
    </w:p>
    <w:tbl>
      <w:tblPr>
        <w:tblStyle w:val="TableGrid"/>
        <w:tblW w:type="auto" w:w="0"/>
        <w:tblLook w:firstColumn="1" w:firstRow="1" w:lastColumn="0" w:lastRow="0" w:noHBand="0" w:noVBand="1" w:val="04A0"/>
      </w:tblPr>
      <w:tblGrid>
        <w:gridCol w:w="4320"/>
        <w:gridCol w:w="4320"/>
      </w:tblGrid>
      <w:tr>
        <w:tc>
          <w:tcPr>
            <w:tcW w:type="dxa" w:w="4320"/>
          </w:tcPr>
          <w:p>
            <w:r>
              <w:t>Component</w:t>
            </w:r>
          </w:p>
        </w:tc>
        <w:tc>
          <w:tcPr>
            <w:tcW w:type="dxa" w:w="4320"/>
          </w:tcPr>
          <w:p>
            <w:r>
              <w:t>Value</w:t>
            </w:r>
          </w:p>
        </w:tc>
      </w:tr>
      <w:tr>
        <w:tc>
          <w:tcPr>
            <w:tcW w:type="dxa" w:w="4320"/>
          </w:tcPr>
          <w:p>
            <w:r>
              <w:t>sender</w:t>
            </w:r>
          </w:p>
        </w:tc>
        <w:tc>
          <w:tcPr>
            <w:tcW w:type="dxa" w:w="4320"/>
          </w:tcPr>
          <w:p>
            <w:r>
              <w:t>{'type': 'HTTP/SOAP', 'description': 'The component responsible for receiving requests from System A.'}</w:t>
            </w:r>
          </w:p>
        </w:tc>
      </w:tr>
      <w:tr>
        <w:tc>
          <w:tcPr>
            <w:tcW w:type="dxa" w:w="4320"/>
          </w:tcPr>
          <w:p>
            <w:r>
              <w:t>receiver</w:t>
            </w:r>
          </w:p>
        </w:tc>
        <w:tc>
          <w:tcPr>
            <w:tcW w:type="dxa" w:w="4320"/>
          </w:tcPr>
          <w:p>
            <w:r>
              <w:t>{'type': 'HTTP/SOAP', 'description': 'The component that sends processed data to System B.'}</w:t>
            </w:r>
          </w:p>
        </w:tc>
      </w:tr>
      <w:tr>
        <w:tc>
          <w:tcPr>
            <w:tcW w:type="dxa" w:w="4320"/>
          </w:tcPr>
          <w:p>
            <w:r>
              <w:t>transformer</w:t>
            </w:r>
          </w:p>
        </w:tc>
        <w:tc>
          <w:tcPr>
            <w:tcW w:type="dxa" w:w="4320"/>
          </w:tcPr>
          <w:p>
            <w:r>
              <w:t>{'type': 'Mapping', 'description': 'The transformation logic that alters the data format from the source to the target.'}</w:t>
            </w:r>
          </w:p>
        </w:tc>
      </w:tr>
      <w:tr>
        <w:tc>
          <w:tcPr>
            <w:tcW w:type="dxa" w:w="4320"/>
          </w:tcPr>
          <w:p>
            <w:r>
              <w:t>error_handler</w:t>
            </w:r>
          </w:p>
        </w:tc>
        <w:tc>
          <w:tcPr>
            <w:tcW w:type="dxa" w:w="4320"/>
          </w:tcPr>
          <w:p>
            <w:r>
              <w:t>{'type': 'Error Handling', 'description': 'Handles errors during the data exchange process and ensures proper logging.'}</w:t>
            </w:r>
          </w:p>
        </w:tc>
      </w:tr>
      <w:tr>
        <w:tc>
          <w:tcPr>
            <w:tcW w:type="dxa" w:w="4320"/>
          </w:tcPr>
          <w:p>
            <w:r>
              <w:t>monitoring</w:t>
            </w:r>
          </w:p>
        </w:tc>
        <w:tc>
          <w:tcPr>
            <w:tcW w:type="dxa" w:w="4320"/>
          </w:tcPr>
          <w:p>
            <w:r>
              <w:t>{'type': 'Monitoring', 'description': 'Tracks the flow and status of messages exchanged.'}</w:t>
            </w:r>
          </w:p>
        </w:tc>
      </w:tr>
    </w:tbl>
    <w:p>
      <w:pPr>
        <w:pStyle w:val="Heading1"/>
      </w:pPr>
      <w:r>
        <w:rPr>
          <w:color w:val="1F3864"/>
          <w:sz w:val="32"/>
        </w:rPr>
        <w:t>3. Integration Scenarios</w:t>
      </w:r>
    </w:p>
    <w:p>
      <w:pPr>
        <w:pStyle w:val="Heading2"/>
      </w:pPr>
      <w:r>
        <w:rPr>
          <w:color w:val="1F3864"/>
          <w:sz w:val="26"/>
        </w:rPr>
        <w:t>3.1 Scenario Description</w:t>
      </w:r>
    </w:p>
    <w:p>
      <w:r>
        <w:t>The iFlow processes incoming messages from System A, transforms them to match the requirements of System B, and sends them over an HTTP/SOAP endpoint, while ensuring any errors are logged and monitored.</w:t>
      </w:r>
    </w:p>
    <w:p>
      <w:pPr>
        <w:pStyle w:val="Heading2"/>
      </w:pPr>
      <w:r>
        <w:rPr>
          <w:color w:val="1F3864"/>
          <w:sz w:val="26"/>
        </w:rPr>
        <w:t>3.2 Data Flows</w:t>
      </w:r>
    </w:p>
    <w:tbl>
      <w:tblPr>
        <w:tblStyle w:val="TableGrid"/>
        <w:tblW w:type="auto" w:w="0"/>
        <w:tblLook w:firstColumn="1" w:firstRow="1" w:lastColumn="0" w:lastRow="0" w:noHBand="0" w:noVBand="1" w:val="04A0"/>
      </w:tblPr>
      <w:tblGrid>
        <w:gridCol w:w="2880"/>
        <w:gridCol w:w="2880"/>
        <w:gridCol w:w="2880"/>
      </w:tblGrid>
      <w:tr>
        <w:tc>
          <w:tcPr>
            <w:tcW w:type="dxa" w:w="2880"/>
          </w:tcPr>
          <w:p>
            <w:r>
              <w:t>Source Field</w:t>
            </w:r>
          </w:p>
        </w:tc>
        <w:tc>
          <w:tcPr>
            <w:tcW w:type="dxa" w:w="2880"/>
          </w:tcPr>
          <w:p>
            <w:r>
              <w:t>Target Field</w:t>
            </w:r>
          </w:p>
        </w:tc>
        <w:tc>
          <w:tcPr>
            <w:tcW w:type="dxa" w:w="2880"/>
          </w:tcPr>
          <w:p>
            <w:r>
              <w:t>Logic</w:t>
            </w:r>
          </w:p>
        </w:tc>
      </w:tr>
      <w:tr>
        <w:tc>
          <w:tcPr>
            <w:tcW w:type="dxa" w:w="2880"/>
          </w:tcPr>
          <w:p>
            <w:r>
              <w:t>System A data format</w:t>
            </w:r>
          </w:p>
        </w:tc>
        <w:tc>
          <w:tcPr>
            <w:tcW w:type="dxa" w:w="2880"/>
          </w:tcPr>
          <w:p>
            <w:r>
              <w:t>System B data format</w:t>
            </w:r>
          </w:p>
        </w:tc>
        <w:tc>
          <w:tcPr>
            <w:tcW w:type="dxa" w:w="2880"/>
          </w:tcPr>
          <w:p>
            <w:r>
              <w:t>Convert XML data structure of System A to JSON required by System B.</w:t>
            </w:r>
          </w:p>
        </w:tc>
      </w:tr>
    </w:tbl>
    <w:p>
      <w:pPr>
        <w:pStyle w:val="Heading2"/>
      </w:pPr>
      <w:r>
        <w:rPr>
          <w:color w:val="1F3864"/>
          <w:sz w:val="26"/>
        </w:rPr>
        <w:t>3.3 Security Requirements</w:t>
      </w:r>
    </w:p>
    <w:p>
      <w:r>
        <w:t>The integration flow utilizes HTTPS for secure data transmission. Authentication is enforced using OAuth tokens to ensure that only authorized systems can send or receive data.</w:t>
      </w:r>
    </w:p>
    <w:p>
      <w:pPr>
        <w:pStyle w:val="Heading1"/>
      </w:pPr>
      <w:r>
        <w:rPr>
          <w:color w:val="1F3864"/>
          <w:sz w:val="32"/>
        </w:rPr>
        <w:t>4. Error Handling and Logging</w:t>
      </w:r>
    </w:p>
    <w:p>
      <w:r>
        <w:t>All errors encountered during processing are captured and logged into an error handling component. Alerts are generated based on severity, and retries are implemented for transient failures.</w:t>
      </w:r>
    </w:p>
    <w:p>
      <w:pPr>
        <w:pStyle w:val="Heading1"/>
      </w:pPr>
      <w:r>
        <w:rPr>
          <w:color w:val="1F3864"/>
          <w:sz w:val="32"/>
        </w:rPr>
        <w:t>5. Testing Validation</w:t>
      </w:r>
    </w:p>
    <w:p>
      <w:r>
        <w:t>Unit tests are implemented for each component including the transformation logic. Integration tests will be conducted to validate end-to-end functionality between System A and System B, along with performance testing under load.</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Pr>
    <w:tblGrid>
      <w:gridCol w:w="4680"/>
      <w:gridCol w:w="4680"/>
    </w:tblGrid>
    <w:tr>
      <w:tc>
        <w:tcPr>
          <w:tcW w:type="dxa" w:w="4680"/>
        </w:tcPr>
        <w:p>
          <w:r>
            <w:drawing>
              <wp:inline xmlns:a="http://schemas.openxmlformats.org/drawingml/2006/main" xmlns:pic="http://schemas.openxmlformats.org/drawingml/2006/picture">
                <wp:extent cx="685800" cy="685800"/>
                <wp:docPr id="1" name="Picture 1"/>
                <wp:cNvGraphicFramePr>
                  <a:graphicFrameLocks noChangeAspect="1"/>
                </wp:cNvGraphicFramePr>
                <a:graphic>
                  <a:graphicData uri="http://schemas.openxmlformats.org/drawingml/2006/picture">
                    <pic:pic>
                      <pic:nvPicPr>
                        <pic:cNvPr id="0" name="sap.jpg"/>
                        <pic:cNvPicPr/>
                      </pic:nvPicPr>
                      <pic:blipFill>
                        <a:blip r:embed="rId1"/>
                        <a:stretch>
                          <a:fillRect/>
                        </a:stretch>
                      </pic:blipFill>
                      <pic:spPr>
                        <a:xfrm>
                          <a:off x="0" y="0"/>
                          <a:ext cx="685800" cy="685800"/>
                        </a:xfrm>
                        <a:prstGeom prst="rect"/>
                      </pic:spPr>
                    </pic:pic>
                  </a:graphicData>
                </a:graphic>
              </wp:inline>
            </w:drawing>
          </w:r>
        </w:p>
      </w:tc>
      <w:tc>
        <w:tcPr>
          <w:tcW w:type="dxa" w:w="4680"/>
        </w:tcPr>
        <w:p>
          <w:pPr>
            <w:jc w:val="right"/>
          </w:pPr>
          <w:r>
            <w:drawing>
              <wp:inline xmlns:a="http://schemas.openxmlformats.org/drawingml/2006/main" xmlns:pic="http://schemas.openxmlformats.org/drawingml/2006/picture">
                <wp:extent cx="685800" cy="685800"/>
                <wp:docPr id="2" name="Picture 2"/>
                <wp:cNvGraphicFramePr>
                  <a:graphicFrameLocks noChangeAspect="1"/>
                </wp:cNvGraphicFramePr>
                <a:graphic>
                  <a:graphicData uri="http://schemas.openxmlformats.org/drawingml/2006/picture">
                    <pic:pic>
                      <pic:nvPicPr>
                        <pic:cNvPr id="0" name="mm.png"/>
                        <pic:cNvPicPr/>
                      </pic:nvPicPr>
                      <pic:blipFill>
                        <a:blip r:embed="rId2"/>
                        <a:stretch>
                          <a:fillRect/>
                        </a:stretch>
                      </pic:blipFill>
                      <pic:spPr>
                        <a:xfrm>
                          <a:off x="0" y="0"/>
                          <a:ext cx="685800" cy="685800"/>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