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iflow1</w:t>
      </w:r>
    </w:p>
    <w:p>
      <w:pPr>
        <w:jc w:val="center"/>
      </w:pPr>
      <w:r>
        <w:t>Technical Specification Document</w:t>
      </w:r>
    </w:p>
    <w:p>
      <w:r>
        <w:br/>
        <w:br/>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Akila710</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rPr>
          <w:color w:val="1F3864"/>
        </w:rPr>
        <w:t>Table of Contents</w:t>
      </w:r>
    </w:p>
    <w:p>
      <w:r>
        <w:t>1. Introduction</w:t>
      </w:r>
    </w:p>
    <w:p>
      <w:pPr>
        <w:ind w:left="432"/>
      </w:pPr>
      <w:r>
        <w:t>1.1 Purpose</w:t>
      </w:r>
    </w:p>
    <w:p>
      <w:pPr>
        <w:ind w:left="432"/>
      </w:pPr>
      <w:r>
        <w:t>1.2 Scope</w:t>
      </w:r>
    </w:p>
    <w:p>
      <w:r>
        <w:t>2. Integration Overview</w:t>
      </w:r>
    </w:p>
    <w:p>
      <w:pPr>
        <w:ind w:left="432"/>
      </w:pPr>
      <w:r>
        <w:t>2.1 Integration Architecture</w:t>
      </w:r>
    </w:p>
    <w:p>
      <w:pPr>
        <w:ind w:left="432"/>
      </w:pPr>
      <w:r>
        <w:t>2.2 Integration Components</w:t>
      </w:r>
    </w:p>
    <w:p>
      <w:r>
        <w:t>3. Integration Scenarios</w:t>
      </w:r>
    </w:p>
    <w:p>
      <w:pPr>
        <w:ind w:left="432"/>
      </w:pPr>
      <w:r>
        <w:t>3.1 Scenario Description</w:t>
      </w:r>
    </w:p>
    <w:p>
      <w:pPr>
        <w:ind w:left="432"/>
      </w:pPr>
      <w:r>
        <w:t>3.2 Data Flows</w:t>
      </w:r>
    </w:p>
    <w:p>
      <w:r>
        <w:t>4. Error Handling</w:t>
      </w:r>
    </w:p>
    <w:p>
      <w:r>
        <w:t>5. Testing Validation</w:t>
      </w:r>
    </w:p>
    <w:p>
      <w:r>
        <w:br w:type="page"/>
      </w:r>
    </w:p>
    <w:p>
      <w:pPr>
        <w:pStyle w:val="Heading1"/>
      </w:pPr>
      <w:r>
        <w:rPr>
          <w:color w:val="1F3864"/>
          <w:sz w:val="32"/>
        </w:rPr>
        <w:t>1. Introduction</w:t>
      </w:r>
    </w:p>
    <w:p>
      <w:pPr>
        <w:pStyle w:val="Heading2"/>
      </w:pPr>
      <w:r>
        <w:rPr>
          <w:color w:val="1F3864"/>
          <w:sz w:val="26"/>
        </w:rPr>
        <w:t>1.1 Purpose</w:t>
      </w:r>
    </w:p>
    <w:p>
      <w:r>
        <w:t>This document provides a detailed explanation of the solution as conceptualized for iflow1.</w:t>
      </w:r>
    </w:p>
    <w:p>
      <w:pPr>
        <w:pStyle w:val="Heading2"/>
      </w:pPr>
      <w:r>
        <w:rPr>
          <w:color w:val="1F3864"/>
          <w:sz w:val="26"/>
        </w:rPr>
        <w:t>1.2 Scope</w:t>
      </w:r>
    </w:p>
    <w:p>
      <w:r>
        <w:t>The technical specification outlines integration touchpoints and business scenarios required for consistent identity management.</w:t>
      </w:r>
    </w:p>
    <w:p>
      <w:pPr>
        <w:pStyle w:val="Heading1"/>
      </w:pPr>
      <w:r>
        <w:rPr>
          <w:color w:val="1F3864"/>
          <w:sz w:val="32"/>
        </w:rPr>
        <w:t>2. Integration Overview</w:t>
      </w:r>
    </w:p>
    <w:p>
      <w:pPr>
        <w:pStyle w:val="Heading2"/>
      </w:pPr>
      <w:r>
        <w:rPr>
          <w:color w:val="1F3864"/>
          <w:sz w:val="26"/>
        </w:rPr>
        <w:t>2.1 Integration Architecture</w:t>
      </w:r>
    </w:p>
    <w:p>
      <w:r>
        <w:t>The integration architecture follows the standard SAP BTP Cloud Integration pattern.</w:t>
      </w:r>
    </w:p>
    <w:p>
      <w:pPr>
        <w:pStyle w:val="Heading1"/>
      </w:pPr>
      <w:r>
        <w:rPr>
          <w:color w:val="1F3864"/>
          <w:sz w:val="32"/>
        </w:rPr>
        <w:t>3. Integration Scenarios</w:t>
      </w:r>
    </w:p>
    <w:p>
      <w:pPr>
        <w:pStyle w:val="Heading2"/>
      </w:pPr>
      <w:r>
        <w:rPr>
          <w:color w:val="1F3864"/>
          <w:sz w:val="26"/>
        </w:rPr>
        <w:t>3.1 Scenario Description</w:t>
      </w:r>
    </w:p>
    <w:p>
      <w:r>
        <w:t>Certainly! Here’s a detailed technical scenario description for an SAP Cloud Platform Integration (CPI) integration flow (iFlow) called **“iflow1”**. In this scenario, we’ll create an iFlow that connects an on-premise ERP system with a cloud-based Customer Relationship Management (CRM) application, facilitating the synchronization of customer data.</w:t>
        <w:br/>
        <w:br/>
        <w:t>### Scenario Overview</w:t>
        <w:br/>
        <w:br/>
        <w:t>**Business Objective**: The purpose of "iflow1" is to synchronize customer data from an on-premise ERP system (e.g., SAP S/4HANA) to a cloud-based CRM application (e.g., Salesforce) when there are updates in the customer master data.</w:t>
        <w:br/>
        <w:br/>
        <w:t>### Integration Flow Details</w:t>
        <w:br/>
        <w:br/>
        <w:t xml:space="preserve">#### 1. **Trigger**: </w:t>
        <w:br/>
        <w:t xml:space="preserve">   - **Event-based Trigger**: The iFlow will be triggered by an on-premise IDoc (intermediate Document) that indicates a change in customer data (e.g., Create, Modify, Delete operations).</w:t>
        <w:br/>
        <w:t xml:space="preserve">   - **Receiver Adapter**: The iFlow uses an SAP PI/PO or IDoc adapter to listen for incoming IDocs.</w:t>
        <w:br/>
        <w:br/>
        <w:t>#### 2. **iFlow Components**:</w:t>
        <w:br/>
        <w:br/>
        <w:t xml:space="preserve">- **Sender**: </w:t>
        <w:br/>
        <w:t xml:space="preserve">  - **IDoc Adapter**: Configured to listen for specific IDoc types (e.g., `DEBMAS` for customer master data).</w:t>
        <w:br/>
        <w:t xml:space="preserve">  </w:t>
        <w:br/>
        <w:t>- **Processing Logic**:</w:t>
        <w:br/>
        <w:t xml:space="preserve">  - **Content-Based Routing**: After receiving the IDoc, a router will determine the type of operation (Create, Update, Delete) based on the IDoc segment (e.g., `E1KNA1M`).</w:t>
        <w:br/>
        <w:t xml:space="preserve">    - **Condition 1**: If operation is 'Create' or 'Update', route to the transformation logic.</w:t>
        <w:br/>
        <w:t xml:space="preserve">    - **Condition 2**: If operation is 'Delete', route to a deletion service endpoint.</w:t>
        <w:br/>
        <w:t xml:space="preserve">  </w:t>
        <w:br/>
        <w:t>- **Transformation**:</w:t>
        <w:br/>
        <w:t xml:space="preserve">  - **Message Mapping (XSLT)**: Transform the IDoc structure into the REST API format required by the CRM system.</w:t>
        <w:br/>
        <w:t xml:space="preserve">    - Example transformation logic for Create/Update:</w:t>
        <w:br/>
        <w:t xml:space="preserve">      - Mapping IDoc fields (ONR, NAME1, NAME2, etc.) to the target CRM fields (firstName, lastName, email).</w:t>
        <w:br/>
        <w:t xml:space="preserve">      - Enrich the message with default values for fields such as country or status.</w:t>
        <w:br/>
        <w:t xml:space="preserve">  </w:t>
        <w:br/>
        <w:t>- **Error Handling**:</w:t>
        <w:br/>
        <w:t xml:space="preserve">  - Use a **Content Modifier** to append error handling logic.</w:t>
        <w:br/>
        <w:t xml:space="preserve">  - If transformation fails, send the error response to an error queue or notification system (e.g., send an email alert).</w:t>
        <w:br/>
        <w:t xml:space="preserve">  </w:t>
        <w:br/>
        <w:t>#### 3. **Data Enrichment**:</w:t>
        <w:br/>
        <w:t>- If additional fields are required which are not in the IDoc but are needed by the CRM system, a **REST call** can be made to a microservice or another API to enrich the data (e.g., fetching customer credit status).</w:t>
        <w:br/>
        <w:br/>
        <w:t>#### 4. **Success Handling**:</w:t>
        <w:br/>
        <w:t>- After successful transformation and enrichment, use a **REST Adapter** to send data to the target CRM system.</w:t>
        <w:br/>
        <w:t xml:space="preserve">  - Endpoint: `https://api.crm.example.com/v1/customers`</w:t>
        <w:br/>
        <w:t xml:space="preserve">  - HTTP Method: POST for Create and PUT for Update.</w:t>
        <w:br/>
        <w:t xml:space="preserve">  - Include necessary authentication in the HTTP header (OAuth 2.0 token).</w:t>
        <w:br/>
        <w:br/>
        <w:t>#### 5. **Final Logging**:</w:t>
        <w:br/>
        <w:t>- Use a **Message Logging** component to log the response from the CRM system for auditing purposes. This can also help in troubleshooting if there's a failure.</w:t>
        <w:br/>
        <w:t xml:space="preserve">  </w:t>
        <w:br/>
        <w:t>- Store the success or failure status in an internal logging system, possibly within SAP Cloud Platform or an external database.</w:t>
        <w:br/>
        <w:br/>
        <w:t>#### 6. **Error Handling**:</w:t>
        <w:br/>
        <w:t>- Implement a **Error End** for any possible fail scenario. Log errors on a designated error handling service and send notifications (e.g., emails) to administrator(s).</w:t>
        <w:br/>
        <w:br/>
        <w:t>#### 7. **Monitoring**:</w:t>
        <w:br/>
        <w:t>- Set up CPI monitoring to capture iFlow execution logs, success rate, and response times. Use **SAP Cloud Platform Integration Monitoring** tools for insights.</w:t>
        <w:br/>
        <w:br/>
        <w:t>### Summary Diagram</w:t>
        <w:br/>
        <w:br/>
        <w:t>Here’s a simple outline of the iFlow:</w:t>
        <w:br/>
        <w:t>```</w:t>
        <w:br/>
        <w:t>[IDoc Adapter] --&gt; [Content-Based Router]</w:t>
        <w:br/>
        <w:t xml:space="preserve">                        |           </w:t>
        <w:br/>
        <w:t xml:space="preserve">                [Message Mapping] --&gt; [Enrichment Service (Optional)] --&gt; [REST Adapter] --&gt; [CRM API]</w:t>
        <w:br/>
        <w:t xml:space="preserve">                        |                |</w:t>
        <w:br/>
        <w:t xml:space="preserve">                     [Error Handling]   |</w:t>
        <w:br/>
        <w:t xml:space="preserve">                                          |</w:t>
        <w:br/>
        <w:t xml:space="preserve">                               [Error Notification]</w:t>
        <w:br/>
        <w:t>```</w:t>
        <w:br/>
        <w:br/>
        <w:t>### Conclusion</w:t>
        <w:br/>
        <w:br/>
        <w:t>This structured integration scenario ensures that customer data from the ERP system is accurately synchronized with the CRM application. The use of IDocs as the triggering mechanism allows for seamless integration between the on-premise and cloud environments, while the transformation logic and error handling mechanisms ensure data integrity and consistency. The iFlow “iflow1” is crucial for enabling real-time updates, enhancing customer experience, and maintaining accurate data across systems.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685800" cy="6858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685800" cy="6858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