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ap-cpi-integration-flow-documentation"/>
    <w:p>
      <w:pPr>
        <w:pStyle w:val="Heading1"/>
      </w:pPr>
      <w:r>
        <w:t xml:space="preserve">SAP CPI Integration Flow Documentation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document provides a comprehensive overview of the integration flow defined in the provided iFlow XML configuration. The integration flow is designed to facilitate communication between a sender and a receiver, encapsulated within a defined process.</w:t>
      </w:r>
    </w:p>
    <w:bookmarkEnd w:id="20"/>
    <w:bookmarkStart w:id="21" w:name="iflow-metadata"/>
    <w:p>
      <w:pPr>
        <w:pStyle w:val="Heading2"/>
      </w:pPr>
      <w:r>
        <w:t xml:space="preserve">2. iFlow Metadata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iFlow Name</w:t>
      </w:r>
      <w:r>
        <w:t xml:space="preserve">: iflow1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</w:t>
      </w:r>
      <w:r>
        <w:t xml:space="preserve">: 1.2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Component Version</w:t>
      </w:r>
      <w:r>
        <w:t xml:space="preserve">: 1.2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Transaction Timeout</w:t>
      </w:r>
      <w:r>
        <w:t xml:space="preserve">: 30 seconds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Logging Level</w:t>
      </w:r>
      <w:r>
        <w:t xml:space="preserve">: All events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CORS Enabled</w:t>
      </w:r>
      <w:r>
        <w:t xml:space="preserve">: 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Return Exception to Sender</w:t>
      </w:r>
      <w:r>
        <w:t xml:space="preserve">: No</w:t>
      </w:r>
    </w:p>
    <w:bookmarkEnd w:id="21"/>
    <w:bookmarkStart w:id="22" w:name="participants"/>
    <w:p>
      <w:pPr>
        <w:pStyle w:val="Heading2"/>
      </w:pPr>
      <w:r>
        <w:t xml:space="preserve">3. Participants</w:t>
      </w:r>
    </w:p>
    <w:p>
      <w:pPr>
        <w:pStyle w:val="FirstParagraph"/>
      </w:pPr>
      <w:r>
        <w:t xml:space="preserve">The integration flow consists of the following participants: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Sender</w:t>
      </w:r>
      <w:r>
        <w:t xml:space="preserve"> </w:t>
      </w:r>
      <w:r>
        <w:t xml:space="preserve">(EndpointSender)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Basic Authentication</w:t>
      </w:r>
      <w:r>
        <w:t xml:space="preserve">: Disabled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Receiver</w:t>
      </w:r>
      <w:r>
        <w:t xml:space="preserve"> </w:t>
      </w:r>
      <w:r>
        <w:t xml:space="preserve">(EndpointReceiver)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Integration Process</w:t>
      </w:r>
      <w:r>
        <w:t xml:space="preserve"> </w:t>
      </w:r>
      <w:r>
        <w:t xml:space="preserve">(IntegrationProcess)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Process ID</w:t>
      </w:r>
      <w:r>
        <w:t xml:space="preserve">: Process_1</w:t>
      </w:r>
    </w:p>
    <w:bookmarkEnd w:id="22"/>
    <w:bookmarkStart w:id="25" w:name="process-definition"/>
    <w:p>
      <w:pPr>
        <w:pStyle w:val="Heading2"/>
      </w:pPr>
      <w:r>
        <w:t xml:space="preserve">4. Process Definition</w:t>
      </w:r>
    </w:p>
    <w:p>
      <w:pPr>
        <w:pStyle w:val="FirstParagraph"/>
      </w:pPr>
      <w:r>
        <w:t xml:space="preserve">The integration process is defined with the following characteristics: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Process ID</w:t>
      </w:r>
      <w:r>
        <w:t xml:space="preserve">: Process_1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Process Name</w:t>
      </w:r>
      <w:r>
        <w:t xml:space="preserve">: Integration Process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Transactional Handling</w:t>
      </w:r>
      <w:r>
        <w:t xml:space="preserve">: Not Required</w:t>
      </w:r>
    </w:p>
    <w:bookmarkStart w:id="23" w:name="events"/>
    <w:p>
      <w:pPr>
        <w:pStyle w:val="Heading3"/>
      </w:pPr>
      <w:r>
        <w:t xml:space="preserve">Events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Start Event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ID</w:t>
      </w:r>
      <w:r>
        <w:t xml:space="preserve">: StartEvent_2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Name</w:t>
      </w:r>
      <w:r>
        <w:t xml:space="preserve">: Start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Component Version</w:t>
      </w:r>
      <w:r>
        <w:t xml:space="preserve">: 1.0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End Event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ID</w:t>
      </w:r>
      <w:r>
        <w:t xml:space="preserve">: EndEvent_2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Name</w:t>
      </w:r>
      <w:r>
        <w:t xml:space="preserve">: End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Component Version</w:t>
      </w:r>
      <w:r>
        <w:t xml:space="preserve">: 1.1</w:t>
      </w:r>
    </w:p>
    <w:bookmarkEnd w:id="23"/>
    <w:bookmarkStart w:id="24" w:name="sequence-flow"/>
    <w:p>
      <w:pPr>
        <w:pStyle w:val="Heading3"/>
      </w:pPr>
      <w:r>
        <w:t xml:space="preserve">Sequence Flow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</w:t>
      </w:r>
      <w:r>
        <w:t xml:space="preserve">: SequenceFlow_3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Source</w:t>
      </w:r>
      <w:r>
        <w:t xml:space="preserve">: StartEvent_2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Target</w:t>
      </w:r>
      <w:r>
        <w:t xml:space="preserve">: EndEvent_2</w:t>
      </w:r>
    </w:p>
    <w:bookmarkEnd w:id="24"/>
    <w:bookmarkEnd w:id="25"/>
    <w:bookmarkStart w:id="26" w:name="bpmn-diagram"/>
    <w:p>
      <w:pPr>
        <w:pStyle w:val="Heading2"/>
      </w:pPr>
      <w:r>
        <w:t xml:space="preserve">5. BPMN Diagram</w:t>
      </w:r>
    </w:p>
    <w:p>
      <w:pPr>
        <w:pStyle w:val="FirstParagraph"/>
      </w:pPr>
      <w:r>
        <w:t xml:space="preserve">The BPMN diagram visually represents the integration flow, showcasing the start and end events along with the sequence flow connecting them. The diagram includes the following elements: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Start Event</w:t>
      </w:r>
      <w:r>
        <w:t xml:space="preserve">: Positioned at (292.0, 142.0)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End Event</w:t>
      </w:r>
      <w:r>
        <w:t xml:space="preserve">: Positioned at (703.0, 142.0)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Sender Participant</w:t>
      </w:r>
      <w:r>
        <w:t xml:space="preserve">: Positioned at (40.0, 100.0)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Receiver Participant</w:t>
      </w:r>
      <w:r>
        <w:t xml:space="preserve">: Positioned at (900.0, 100.0)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Integration Process Participant</w:t>
      </w:r>
      <w:r>
        <w:t xml:space="preserve">: Positioned at (250.0, 60.0)</w:t>
      </w:r>
    </w:p>
    <w:bookmarkEnd w:id="26"/>
    <w:bookmarkStart w:id="27" w:name="extension-elements"/>
    <w:p>
      <w:pPr>
        <w:pStyle w:val="Heading2"/>
      </w:pPr>
      <w:r>
        <w:t xml:space="preserve">6. Extension Elements</w:t>
      </w:r>
    </w:p>
    <w:p>
      <w:pPr>
        <w:pStyle w:val="FirstParagraph"/>
      </w:pPr>
      <w:r>
        <w:t xml:space="preserve">The integration flow includes several extension elements that define additional properties: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Namespace Mapping</w:t>
      </w:r>
      <w:r>
        <w:t xml:space="preserve">: Not specified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Session Handling</w:t>
      </w:r>
      <w:r>
        <w:t xml:space="preserve">: None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 Control Max Age</w:t>
      </w:r>
      <w:r>
        <w:t xml:space="preserve">: Not specified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CORS Configuration</w:t>
      </w:r>
      <w:r>
        <w:t xml:space="preserve">: Disabled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Allowed Origins</w:t>
      </w:r>
      <w:r>
        <w:t xml:space="preserve">: Not specified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Allowed Headers</w:t>
      </w:r>
      <w:r>
        <w:t xml:space="preserve">: Not specified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Allowed Methods</w:t>
      </w:r>
      <w:r>
        <w:t xml:space="preserve">: Not specified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Access Control Allow Credentials</w:t>
      </w:r>
      <w:r>
        <w:t xml:space="preserve">: Disabled</w:t>
      </w:r>
    </w:p>
    <w:bookmarkEnd w:id="27"/>
    <w:bookmarkStart w:id="28" w:name="error-handling"/>
    <w:p>
      <w:pPr>
        <w:pStyle w:val="Heading2"/>
      </w:pPr>
      <w:r>
        <w:t xml:space="preserve">7. Error Handling</w:t>
      </w:r>
    </w:p>
    <w:p>
      <w:pPr>
        <w:pStyle w:val="FirstParagraph"/>
      </w:pPr>
      <w:r>
        <w:t xml:space="preserve">The integration flow is configured to not return exceptions to the sender, which may affect how errors are handled in the communication process.</w:t>
      </w:r>
    </w:p>
    <w:bookmarkEnd w:id="28"/>
    <w:bookmarkStart w:id="29" w:name="versioning"/>
    <w:p>
      <w:pPr>
        <w:pStyle w:val="Heading2"/>
      </w:pPr>
      <w:r>
        <w:t xml:space="preserve">8. Versioning</w:t>
      </w:r>
    </w:p>
    <w:p>
      <w:pPr>
        <w:pStyle w:val="FirstParagraph"/>
      </w:pPr>
      <w:r>
        <w:t xml:space="preserve">The integration flow and its components are versioned to ensure compatibility and traceability: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iFlow Version</w:t>
      </w:r>
      <w:r>
        <w:t xml:space="preserve">: 1.2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Integration Process Version</w:t>
      </w:r>
      <w:r>
        <w:t xml:space="preserve">: 1.2.1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Start Event Version</w:t>
      </w:r>
      <w:r>
        <w:t xml:space="preserve">: 1.0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End Event Version</w:t>
      </w:r>
      <w:r>
        <w:t xml:space="preserve">: 1.1</w:t>
      </w:r>
    </w:p>
    <w:bookmarkEnd w:id="29"/>
    <w:bookmarkStart w:id="30" w:name="security-considerations"/>
    <w:p>
      <w:pPr>
        <w:pStyle w:val="Heading2"/>
      </w:pPr>
      <w:r>
        <w:t xml:space="preserve">9. Security Considerations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Authentication</w:t>
      </w:r>
      <w:r>
        <w:t xml:space="preserve">: Disabled for the sender, which may require additional security measures depending on the use case.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CORS</w:t>
      </w:r>
      <w:r>
        <w:t xml:space="preserve">: Not enabled, which may limit cross-origin requests.</w:t>
      </w:r>
    </w:p>
    <w:bookmarkEnd w:id="30"/>
    <w:bookmarkStart w:id="31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This documentation provides a detailed overview of the integration flow defined in the provided iFlow XML. The flow is structured to facilitate communication between a sender and a receiver, with specific configurations for logging, error handling, and security. Further enhancements may be considered based on the operational requirements and security policies.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2025-12-09T10:56:39Z</dcterms:created>
  <dcterms:modified xsi:type="dcterms:W3CDTF">2025-12-09T10:56:39Z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