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40BF" w:rsidRPr="005A5998" w:rsidRDefault="007140BF" w:rsidP="007140BF">
      <w:pPr>
        <w:jc w:val="center"/>
        <w:rPr>
          <w:rFonts w:cstheme="minorHAnsi"/>
          <w:b/>
          <w:bCs/>
          <w:sz w:val="28"/>
          <w:szCs w:val="36"/>
        </w:rPr>
      </w:pPr>
      <w:r w:rsidRPr="007140BF">
        <w:rPr>
          <w:rFonts w:cstheme="minorHAnsi"/>
          <w:b/>
          <w:bCs/>
          <w:sz w:val="28"/>
          <w:szCs w:val="36"/>
        </w:rPr>
        <w:t>Global Salary Trends and Workforce Analysis</w:t>
      </w:r>
    </w:p>
    <w:p w:rsidR="007140BF" w:rsidRPr="007140BF" w:rsidRDefault="007140BF" w:rsidP="007140BF">
      <w:pPr>
        <w:jc w:val="center"/>
        <w:rPr>
          <w:rFonts w:cstheme="minorHAnsi"/>
          <w:sz w:val="24"/>
          <w:szCs w:val="32"/>
        </w:rPr>
      </w:pPr>
    </w:p>
    <w:p w:rsidR="007140BF" w:rsidRPr="005A5998" w:rsidRDefault="007140BF" w:rsidP="007140BF">
      <w:pPr>
        <w:rPr>
          <w:rFonts w:cstheme="minorHAnsi"/>
          <w:b/>
          <w:bCs/>
          <w:sz w:val="26"/>
          <w:szCs w:val="26"/>
        </w:rPr>
      </w:pPr>
      <w:r w:rsidRPr="007140BF">
        <w:rPr>
          <w:rFonts w:cstheme="minorHAnsi"/>
          <w:b/>
          <w:bCs/>
          <w:sz w:val="26"/>
          <w:szCs w:val="26"/>
        </w:rPr>
        <w:t>Project Objective:</w:t>
      </w:r>
    </w:p>
    <w:p w:rsidR="00155813" w:rsidRPr="005A5998" w:rsidRDefault="00155813" w:rsidP="00CB22B7">
      <w:pPr>
        <w:jc w:val="both"/>
        <w:rPr>
          <w:rFonts w:cstheme="minorHAnsi"/>
          <w:sz w:val="24"/>
          <w:szCs w:val="32"/>
        </w:rPr>
      </w:pPr>
      <w:r w:rsidRPr="00155813">
        <w:rPr>
          <w:rFonts w:cstheme="minorHAnsi"/>
          <w:sz w:val="24"/>
          <w:szCs w:val="32"/>
        </w:rPr>
        <w:t xml:space="preserve">The objective of this project is to conduct a comprehensive analysis of salary trends across various demographics and industries globally. By </w:t>
      </w:r>
      <w:r w:rsidRPr="005A5998">
        <w:rPr>
          <w:rFonts w:cstheme="minorHAnsi"/>
          <w:sz w:val="24"/>
          <w:szCs w:val="32"/>
        </w:rPr>
        <w:t>using advanced Excel and SQL</w:t>
      </w:r>
      <w:r w:rsidRPr="00155813">
        <w:rPr>
          <w:rFonts w:cstheme="minorHAnsi"/>
          <w:sz w:val="24"/>
          <w:szCs w:val="32"/>
        </w:rPr>
        <w:t xml:space="preserve">, the study aims to identify key salary determinants such as education, experience, gender, and location. </w:t>
      </w:r>
      <w:r w:rsidRPr="005A5998">
        <w:rPr>
          <w:rFonts w:cstheme="minorHAnsi"/>
          <w:sz w:val="24"/>
          <w:szCs w:val="32"/>
        </w:rPr>
        <w:t>The ultimate goal is to identify key salary drivers and offer strategic recommendations to organizations for enhancing compensation structures, improving workforce satisfaction, and ensuring competitive pay scales.</w:t>
      </w:r>
    </w:p>
    <w:p w:rsidR="007140BF" w:rsidRPr="007140BF" w:rsidRDefault="007140BF" w:rsidP="007140BF">
      <w:pPr>
        <w:rPr>
          <w:rFonts w:cstheme="minorHAnsi"/>
          <w:sz w:val="24"/>
          <w:szCs w:val="32"/>
        </w:rPr>
      </w:pPr>
    </w:p>
    <w:p w:rsidR="00155813" w:rsidRDefault="007140BF" w:rsidP="007140BF">
      <w:pPr>
        <w:rPr>
          <w:rFonts w:cstheme="minorHAnsi"/>
          <w:sz w:val="26"/>
          <w:szCs w:val="26"/>
        </w:rPr>
      </w:pPr>
      <w:r w:rsidRPr="007140BF">
        <w:rPr>
          <w:rFonts w:cstheme="minorHAnsi"/>
          <w:b/>
          <w:bCs/>
          <w:sz w:val="26"/>
          <w:szCs w:val="26"/>
        </w:rPr>
        <w:t>Dataset Overview:</w:t>
      </w:r>
      <w:r w:rsidRPr="007140BF">
        <w:rPr>
          <w:rFonts w:cstheme="minorHAnsi"/>
          <w:sz w:val="26"/>
          <w:szCs w:val="26"/>
        </w:rPr>
        <w:t xml:space="preserve"> </w:t>
      </w:r>
    </w:p>
    <w:p w:rsidR="00CB22B7" w:rsidRDefault="00CB22B7" w:rsidP="007140BF">
      <w:pPr>
        <w:rPr>
          <w:rFonts w:cstheme="minorHAnsi"/>
          <w:sz w:val="26"/>
          <w:szCs w:val="26"/>
        </w:rPr>
      </w:pPr>
    </w:p>
    <w:p w:rsidR="007140BF" w:rsidRDefault="007140BF" w:rsidP="007140BF">
      <w:pPr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The dataset comprises key variables essential for salary analysis:</w:t>
      </w:r>
    </w:p>
    <w:p w:rsidR="00CB22B7" w:rsidRPr="007140BF" w:rsidRDefault="00CB22B7" w:rsidP="007140BF">
      <w:pPr>
        <w:rPr>
          <w:rFonts w:cstheme="minorHAnsi"/>
          <w:sz w:val="24"/>
          <w:szCs w:val="32"/>
        </w:rPr>
      </w:pPr>
    </w:p>
    <w:p w:rsidR="007140BF" w:rsidRPr="007140BF" w:rsidRDefault="007140BF" w:rsidP="007140BF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Educational Qualifications:</w:t>
      </w:r>
      <w:r w:rsidRPr="007140BF">
        <w:rPr>
          <w:rFonts w:cstheme="minorHAnsi"/>
          <w:sz w:val="24"/>
          <w:szCs w:val="32"/>
        </w:rPr>
        <w:t xml:space="preserve"> Examining salary variations based on academic achievements.</w:t>
      </w:r>
    </w:p>
    <w:p w:rsidR="007140BF" w:rsidRPr="007140BF" w:rsidRDefault="007140BF" w:rsidP="007140BF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Geographic Influence:</w:t>
      </w:r>
      <w:r w:rsidRPr="007140BF">
        <w:rPr>
          <w:rFonts w:cstheme="minorHAnsi"/>
          <w:sz w:val="24"/>
          <w:szCs w:val="32"/>
        </w:rPr>
        <w:t xml:space="preserve"> </w:t>
      </w:r>
      <w:proofErr w:type="spellStart"/>
      <w:r w:rsidRPr="007140BF">
        <w:rPr>
          <w:rFonts w:cstheme="minorHAnsi"/>
          <w:sz w:val="24"/>
          <w:szCs w:val="32"/>
        </w:rPr>
        <w:t>Analyzing</w:t>
      </w:r>
      <w:proofErr w:type="spellEnd"/>
      <w:r w:rsidRPr="007140BF">
        <w:rPr>
          <w:rFonts w:cstheme="minorHAnsi"/>
          <w:sz w:val="24"/>
          <w:szCs w:val="32"/>
        </w:rPr>
        <w:t xml:space="preserve"> differences in pay scales across various regions and countries.</w:t>
      </w:r>
    </w:p>
    <w:p w:rsidR="007140BF" w:rsidRPr="007140BF" w:rsidRDefault="007140BF" w:rsidP="007140BF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Experience-Based Compensation:</w:t>
      </w:r>
      <w:r w:rsidRPr="007140BF">
        <w:rPr>
          <w:rFonts w:cstheme="minorHAnsi"/>
          <w:sz w:val="24"/>
          <w:szCs w:val="32"/>
        </w:rPr>
        <w:t xml:space="preserve"> Evaluating salary progression over different career stages.</w:t>
      </w:r>
    </w:p>
    <w:p w:rsidR="007140BF" w:rsidRPr="007140BF" w:rsidRDefault="007140BF" w:rsidP="007140BF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Gender-Based Disparities:</w:t>
      </w:r>
      <w:r w:rsidRPr="007140BF">
        <w:rPr>
          <w:rFonts w:cstheme="minorHAnsi"/>
          <w:sz w:val="24"/>
          <w:szCs w:val="32"/>
        </w:rPr>
        <w:t xml:space="preserve"> Investigating workforce diversity and pay equity concerns.</w:t>
      </w:r>
    </w:p>
    <w:p w:rsidR="007140BF" w:rsidRDefault="007140BF" w:rsidP="007140BF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Industry-Specific Trends:</w:t>
      </w:r>
      <w:r w:rsidRPr="007140BF">
        <w:rPr>
          <w:rFonts w:cstheme="minorHAnsi"/>
          <w:sz w:val="24"/>
          <w:szCs w:val="32"/>
        </w:rPr>
        <w:t xml:space="preserve"> Comparing compensation benchmarks across major industries.</w:t>
      </w:r>
    </w:p>
    <w:p w:rsidR="00CB22B7" w:rsidRPr="007140BF" w:rsidRDefault="00CB22B7" w:rsidP="00CB22B7">
      <w:pPr>
        <w:ind w:left="720"/>
        <w:rPr>
          <w:rFonts w:cstheme="minorHAnsi"/>
          <w:sz w:val="24"/>
          <w:szCs w:val="32"/>
        </w:rPr>
      </w:pPr>
    </w:p>
    <w:p w:rsidR="007140BF" w:rsidRPr="007140BF" w:rsidRDefault="007140BF" w:rsidP="007140BF">
      <w:pPr>
        <w:rPr>
          <w:rFonts w:cstheme="minorHAnsi"/>
          <w:sz w:val="24"/>
          <w:szCs w:val="32"/>
        </w:rPr>
      </w:pPr>
    </w:p>
    <w:p w:rsidR="007140BF" w:rsidRDefault="007140BF" w:rsidP="007140BF">
      <w:pPr>
        <w:rPr>
          <w:rFonts w:cstheme="minorHAnsi"/>
          <w:b/>
          <w:bCs/>
          <w:sz w:val="26"/>
          <w:szCs w:val="26"/>
        </w:rPr>
      </w:pPr>
      <w:r w:rsidRPr="007140BF">
        <w:rPr>
          <w:rFonts w:cstheme="minorHAnsi"/>
          <w:b/>
          <w:bCs/>
          <w:sz w:val="26"/>
          <w:szCs w:val="26"/>
        </w:rPr>
        <w:t>Methodology:</w:t>
      </w:r>
    </w:p>
    <w:p w:rsidR="00CB22B7" w:rsidRPr="007140BF" w:rsidRDefault="00CB22B7" w:rsidP="007140BF">
      <w:pPr>
        <w:rPr>
          <w:rFonts w:cstheme="minorHAnsi"/>
          <w:sz w:val="26"/>
          <w:szCs w:val="26"/>
        </w:rPr>
      </w:pPr>
    </w:p>
    <w:p w:rsidR="00CF3BEF" w:rsidRPr="007140BF" w:rsidRDefault="007140BF" w:rsidP="00CB22B7">
      <w:pPr>
        <w:numPr>
          <w:ilvl w:val="0"/>
          <w:numId w:val="2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Data Processing &amp; Cleaning:</w:t>
      </w:r>
    </w:p>
    <w:p w:rsidR="007140BF" w:rsidRPr="007140BF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Imported raw data into Excel for initial screening.</w:t>
      </w:r>
    </w:p>
    <w:p w:rsidR="007140BF" w:rsidRPr="007140BF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Eliminated duplicate records and handled missing entries.</w:t>
      </w:r>
    </w:p>
    <w:p w:rsidR="00883C41" w:rsidRPr="00CB22B7" w:rsidRDefault="007140BF" w:rsidP="00883C41">
      <w:pPr>
        <w:numPr>
          <w:ilvl w:val="1"/>
          <w:numId w:val="2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Standardized data formats for consistency.</w:t>
      </w:r>
    </w:p>
    <w:p w:rsidR="00CF3BEF" w:rsidRDefault="00CF3BEF" w:rsidP="00CF3BEF">
      <w:pPr>
        <w:jc w:val="center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>RAW DATA</w:t>
      </w:r>
    </w:p>
    <w:p w:rsidR="005A5998" w:rsidRDefault="00CF3BEF" w:rsidP="00CF3BEF">
      <w:pPr>
        <w:jc w:val="center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</w:rPr>
        <w:drawing>
          <wp:inline distT="0" distB="0" distL="0" distR="0" wp14:anchorId="2DD490EC" wp14:editId="4EC86747">
            <wp:extent cx="2693850" cy="2342271"/>
            <wp:effectExtent l="0" t="0" r="0" b="1270"/>
            <wp:docPr id="123187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7895" name="Picture 12318778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07" cy="23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EF" w:rsidRPr="005A5998" w:rsidRDefault="00CF3BEF" w:rsidP="00CF3BEF">
      <w:pPr>
        <w:jc w:val="center"/>
        <w:rPr>
          <w:rFonts w:cstheme="minorHAnsi"/>
          <w:sz w:val="24"/>
          <w:szCs w:val="32"/>
        </w:rPr>
      </w:pPr>
    </w:p>
    <w:p w:rsidR="00155813" w:rsidRDefault="00CF3BEF" w:rsidP="00CF3BE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                                                                      CLEANED DATA</w:t>
      </w:r>
    </w:p>
    <w:p w:rsidR="00CF3BEF" w:rsidRDefault="00883C41" w:rsidP="00CF3BE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                                          </w:t>
      </w:r>
      <w:r w:rsidRPr="00883C41">
        <w:rPr>
          <w:rFonts w:cstheme="minorHAnsi"/>
          <w:sz w:val="24"/>
          <w:szCs w:val="32"/>
        </w:rPr>
        <w:drawing>
          <wp:inline distT="0" distB="0" distL="0" distR="0" wp14:anchorId="707C9C59" wp14:editId="27741651">
            <wp:extent cx="2764009" cy="1980148"/>
            <wp:effectExtent l="0" t="0" r="0" b="1270"/>
            <wp:docPr id="142070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9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916" cy="20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EF" w:rsidRPr="007140BF" w:rsidRDefault="00CF3BEF" w:rsidP="00CF3BEF">
      <w:pPr>
        <w:ind w:left="2160"/>
        <w:jc w:val="center"/>
        <w:rPr>
          <w:rFonts w:cstheme="minorHAnsi"/>
          <w:sz w:val="24"/>
          <w:szCs w:val="32"/>
        </w:rPr>
      </w:pPr>
    </w:p>
    <w:p w:rsidR="007140BF" w:rsidRPr="007140BF" w:rsidRDefault="007140BF" w:rsidP="007140BF">
      <w:pPr>
        <w:numPr>
          <w:ilvl w:val="0"/>
          <w:numId w:val="2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Database Integration &amp; Query Execution:</w:t>
      </w:r>
    </w:p>
    <w:p w:rsidR="007140BF" w:rsidRPr="007140BF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Converted cleaned data into CSV format for database import.</w:t>
      </w:r>
    </w:p>
    <w:p w:rsidR="007140BF" w:rsidRPr="007140BF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Established a MySQL database and structured tables for efficient data management.</w:t>
      </w:r>
    </w:p>
    <w:p w:rsidR="007140BF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Applied SQL queries to extract insights on salary patterns and workforce dynamics.</w:t>
      </w:r>
    </w:p>
    <w:p w:rsidR="00883C41" w:rsidRPr="005A5998" w:rsidRDefault="00883C41" w:rsidP="00883C41">
      <w:pPr>
        <w:ind w:left="144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          </w:t>
      </w:r>
      <w:r w:rsidRPr="00883C41">
        <w:rPr>
          <w:rFonts w:cstheme="minorHAnsi"/>
          <w:sz w:val="24"/>
          <w:szCs w:val="32"/>
        </w:rPr>
        <w:t>Import the CSV file using the LOAD command</w:t>
      </w:r>
    </w:p>
    <w:p w:rsidR="00155813" w:rsidRDefault="00883C41" w:rsidP="00883C41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                             </w:t>
      </w:r>
      <w:r>
        <w:rPr>
          <w:rFonts w:cstheme="minorHAnsi"/>
          <w:noProof/>
          <w:sz w:val="24"/>
          <w:szCs w:val="32"/>
        </w:rPr>
        <w:drawing>
          <wp:inline distT="0" distB="0" distL="0" distR="0" wp14:anchorId="0FEA95A9" wp14:editId="357C2240">
            <wp:extent cx="3530991" cy="962996"/>
            <wp:effectExtent l="0" t="0" r="0" b="8890"/>
            <wp:docPr id="1394329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9092" name="Picture 1394329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340" cy="9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41" w:rsidRDefault="00883C41" w:rsidP="00883C41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                                      </w:t>
      </w:r>
      <w:r>
        <w:rPr>
          <w:rFonts w:cstheme="minorHAnsi"/>
          <w:noProof/>
          <w:sz w:val="24"/>
          <w:szCs w:val="32"/>
        </w:rPr>
        <w:drawing>
          <wp:inline distT="0" distB="0" distL="0" distR="0">
            <wp:extent cx="3186332" cy="1147659"/>
            <wp:effectExtent l="0" t="0" r="0" b="0"/>
            <wp:docPr id="1249295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95295" name="Picture 12492952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7" cy="11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7" w:rsidRDefault="00883C41" w:rsidP="00883C41">
      <w:pPr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</w:rPr>
        <w:t xml:space="preserve">                                      </w:t>
      </w:r>
      <w:r>
        <w:rPr>
          <w:rFonts w:cstheme="minorHAnsi"/>
          <w:noProof/>
          <w:sz w:val="24"/>
          <w:szCs w:val="32"/>
        </w:rPr>
        <w:drawing>
          <wp:inline distT="0" distB="0" distL="0" distR="0">
            <wp:extent cx="3180496" cy="1181686"/>
            <wp:effectExtent l="0" t="0" r="1270" b="0"/>
            <wp:docPr id="73228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8737" name="Picture 73228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62" cy="11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41" w:rsidRPr="007140BF" w:rsidRDefault="00883C41" w:rsidP="00883C41">
      <w:pPr>
        <w:rPr>
          <w:rFonts w:cstheme="minorHAnsi"/>
          <w:sz w:val="24"/>
          <w:szCs w:val="32"/>
        </w:rPr>
      </w:pPr>
    </w:p>
    <w:p w:rsidR="007140BF" w:rsidRPr="00CB22B7" w:rsidRDefault="007140BF" w:rsidP="007140BF">
      <w:pPr>
        <w:numPr>
          <w:ilvl w:val="0"/>
          <w:numId w:val="2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Data Analysis &amp; Visualization:</w:t>
      </w:r>
    </w:p>
    <w:p w:rsidR="00CB22B7" w:rsidRPr="007140BF" w:rsidRDefault="00CB22B7" w:rsidP="00CB22B7">
      <w:pPr>
        <w:ind w:left="720"/>
        <w:rPr>
          <w:rFonts w:cstheme="minorHAnsi"/>
          <w:sz w:val="24"/>
          <w:szCs w:val="32"/>
        </w:rPr>
      </w:pPr>
    </w:p>
    <w:p w:rsidR="007140BF" w:rsidRPr="007140BF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Exported query results to Excel for further evaluation.</w:t>
      </w:r>
    </w:p>
    <w:p w:rsidR="007140BF" w:rsidRPr="005A5998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Developed pivot tables and charts to identify salary trends and anomalies.</w:t>
      </w:r>
    </w:p>
    <w:p w:rsidR="00155813" w:rsidRPr="007140BF" w:rsidRDefault="00155813" w:rsidP="00155813">
      <w:pPr>
        <w:ind w:left="1440"/>
        <w:rPr>
          <w:rFonts w:cstheme="minorHAnsi"/>
          <w:sz w:val="24"/>
          <w:szCs w:val="32"/>
        </w:rPr>
      </w:pPr>
    </w:p>
    <w:p w:rsidR="007140BF" w:rsidRPr="00CB22B7" w:rsidRDefault="007140BF" w:rsidP="007140BF">
      <w:pPr>
        <w:numPr>
          <w:ilvl w:val="0"/>
          <w:numId w:val="2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Dashboard Development:</w:t>
      </w:r>
    </w:p>
    <w:p w:rsidR="00CB22B7" w:rsidRPr="007140BF" w:rsidRDefault="00CB22B7" w:rsidP="00CB22B7">
      <w:pPr>
        <w:ind w:left="720"/>
        <w:rPr>
          <w:rFonts w:cstheme="minorHAnsi"/>
          <w:sz w:val="24"/>
          <w:szCs w:val="32"/>
        </w:rPr>
      </w:pPr>
    </w:p>
    <w:p w:rsidR="007140BF" w:rsidRPr="007140BF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Designed interactive dashboards summarizing key insights.</w:t>
      </w:r>
    </w:p>
    <w:p w:rsidR="007140BF" w:rsidRPr="007140BF" w:rsidRDefault="007140BF" w:rsidP="007140BF">
      <w:pPr>
        <w:numPr>
          <w:ilvl w:val="1"/>
          <w:numId w:val="2"/>
        </w:numPr>
        <w:tabs>
          <w:tab w:val="num" w:pos="1440"/>
        </w:tabs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Provided visual representations of salary distributions, demographic disparities, and industry benchmarks.</w:t>
      </w:r>
    </w:p>
    <w:p w:rsidR="007140BF" w:rsidRDefault="007140BF" w:rsidP="007140BF">
      <w:pPr>
        <w:rPr>
          <w:rFonts w:cstheme="minorHAnsi"/>
          <w:sz w:val="24"/>
          <w:szCs w:val="32"/>
        </w:rPr>
      </w:pPr>
    </w:p>
    <w:p w:rsidR="00CB22B7" w:rsidRPr="007140BF" w:rsidRDefault="00CB22B7" w:rsidP="007140BF">
      <w:pPr>
        <w:rPr>
          <w:rFonts w:cstheme="minorHAnsi"/>
          <w:sz w:val="24"/>
          <w:szCs w:val="32"/>
        </w:rPr>
      </w:pPr>
    </w:p>
    <w:p w:rsidR="007140BF" w:rsidRDefault="007140BF" w:rsidP="007140BF">
      <w:pPr>
        <w:rPr>
          <w:rFonts w:cstheme="minorHAnsi"/>
          <w:b/>
          <w:bCs/>
          <w:sz w:val="26"/>
          <w:szCs w:val="26"/>
        </w:rPr>
      </w:pPr>
      <w:r w:rsidRPr="007140BF">
        <w:rPr>
          <w:rFonts w:cstheme="minorHAnsi"/>
          <w:b/>
          <w:bCs/>
          <w:sz w:val="26"/>
          <w:szCs w:val="26"/>
        </w:rPr>
        <w:t>Key Findings:</w:t>
      </w:r>
    </w:p>
    <w:p w:rsidR="00CB22B7" w:rsidRPr="007140BF" w:rsidRDefault="00CB22B7" w:rsidP="007140BF">
      <w:pPr>
        <w:rPr>
          <w:rFonts w:cstheme="minorHAnsi"/>
          <w:sz w:val="26"/>
          <w:szCs w:val="26"/>
        </w:rPr>
      </w:pPr>
    </w:p>
    <w:p w:rsidR="00CB22B7" w:rsidRDefault="007140BF" w:rsidP="007140BF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Educational Impact:</w:t>
      </w:r>
      <w:r w:rsidRPr="007140BF">
        <w:rPr>
          <w:rFonts w:cstheme="minorHAnsi"/>
          <w:sz w:val="24"/>
          <w:szCs w:val="32"/>
        </w:rPr>
        <w:t xml:space="preserve"> </w:t>
      </w:r>
    </w:p>
    <w:p w:rsidR="007140BF" w:rsidRDefault="007140BF" w:rsidP="00CB22B7">
      <w:pPr>
        <w:ind w:left="720"/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Higher education correlates with significant salary increases, though diminishing returns are observed at doctoral levels.</w:t>
      </w:r>
    </w:p>
    <w:p w:rsidR="00CB22B7" w:rsidRDefault="00CB22B7" w:rsidP="00CB22B7">
      <w:pPr>
        <w:ind w:left="720"/>
        <w:rPr>
          <w:rFonts w:cstheme="minorHAnsi"/>
          <w:sz w:val="24"/>
          <w:szCs w:val="32"/>
        </w:rPr>
      </w:pPr>
      <w:r w:rsidRPr="00CB22B7">
        <w:rPr>
          <w:rFonts w:cstheme="minorHAnsi"/>
          <w:sz w:val="24"/>
          <w:szCs w:val="32"/>
        </w:rPr>
        <w:t>Bachelor’s degree holders earn 20-40% more than those with only high school education.</w:t>
      </w:r>
    </w:p>
    <w:p w:rsidR="00CB22B7" w:rsidRPr="00CB22B7" w:rsidRDefault="00CB22B7" w:rsidP="00CB22B7">
      <w:pPr>
        <w:ind w:left="720"/>
        <w:rPr>
          <w:rFonts w:cstheme="minorHAnsi"/>
          <w:sz w:val="24"/>
          <w:szCs w:val="32"/>
        </w:rPr>
      </w:pPr>
    </w:p>
    <w:p w:rsidR="00CB22B7" w:rsidRPr="007140BF" w:rsidRDefault="00CB22B7" w:rsidP="00CB22B7">
      <w:pPr>
        <w:rPr>
          <w:rFonts w:cstheme="minorHAnsi"/>
          <w:sz w:val="24"/>
          <w:szCs w:val="32"/>
        </w:rPr>
      </w:pPr>
    </w:p>
    <w:p w:rsidR="00CB22B7" w:rsidRDefault="007140BF" w:rsidP="007140BF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lastRenderedPageBreak/>
        <w:t>Experience vs. Salary Growth:</w:t>
      </w:r>
      <w:r w:rsidRPr="007140BF">
        <w:rPr>
          <w:rFonts w:cstheme="minorHAnsi"/>
          <w:sz w:val="24"/>
          <w:szCs w:val="32"/>
        </w:rPr>
        <w:t xml:space="preserve"> </w:t>
      </w:r>
    </w:p>
    <w:p w:rsidR="007140BF" w:rsidRDefault="007140BF" w:rsidP="00CB22B7">
      <w:pPr>
        <w:ind w:left="720"/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Mid-career professionals witness the highest salary acceleration, while senior-level growth plateaus in certain fields.</w:t>
      </w:r>
    </w:p>
    <w:p w:rsidR="00CB22B7" w:rsidRPr="007140BF" w:rsidRDefault="00CB22B7" w:rsidP="00CB22B7">
      <w:pPr>
        <w:ind w:left="720"/>
        <w:rPr>
          <w:rFonts w:cstheme="minorHAnsi"/>
          <w:sz w:val="24"/>
          <w:szCs w:val="32"/>
        </w:rPr>
      </w:pPr>
    </w:p>
    <w:p w:rsidR="00CB22B7" w:rsidRPr="00CB22B7" w:rsidRDefault="007140BF" w:rsidP="007140BF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Industry Variations:</w:t>
      </w:r>
    </w:p>
    <w:p w:rsidR="007140BF" w:rsidRDefault="007140BF" w:rsidP="00CB22B7">
      <w:pPr>
        <w:ind w:left="720"/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 xml:space="preserve"> Technology and finance offer the most competitive salaries, while education and healthcare emphasize stability over rapid salary growth.</w:t>
      </w:r>
    </w:p>
    <w:p w:rsidR="00CB22B7" w:rsidRPr="007140BF" w:rsidRDefault="00CB22B7" w:rsidP="00CB22B7">
      <w:pPr>
        <w:ind w:left="720"/>
        <w:rPr>
          <w:rFonts w:cstheme="minorHAnsi"/>
          <w:sz w:val="24"/>
          <w:szCs w:val="32"/>
        </w:rPr>
      </w:pPr>
    </w:p>
    <w:p w:rsidR="00CB22B7" w:rsidRDefault="007140BF" w:rsidP="007140BF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Geographical Discrepancies:</w:t>
      </w:r>
      <w:r w:rsidRPr="007140BF">
        <w:rPr>
          <w:rFonts w:cstheme="minorHAnsi"/>
          <w:sz w:val="24"/>
          <w:szCs w:val="32"/>
        </w:rPr>
        <w:t xml:space="preserve"> </w:t>
      </w:r>
    </w:p>
    <w:p w:rsidR="007140BF" w:rsidRDefault="007140BF" w:rsidP="00CB22B7">
      <w:pPr>
        <w:ind w:left="720"/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Regional salary differences emphasize the need for location-based compensation strategies.</w:t>
      </w:r>
    </w:p>
    <w:p w:rsidR="00CB22B7" w:rsidRPr="007140BF" w:rsidRDefault="00CB22B7" w:rsidP="00CB22B7">
      <w:pPr>
        <w:ind w:left="720"/>
        <w:rPr>
          <w:rFonts w:cstheme="minorHAnsi"/>
          <w:sz w:val="24"/>
          <w:szCs w:val="32"/>
        </w:rPr>
      </w:pPr>
    </w:p>
    <w:p w:rsidR="00CB22B7" w:rsidRPr="00CB22B7" w:rsidRDefault="007140BF" w:rsidP="007140BF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Remote Work Influence:</w:t>
      </w:r>
    </w:p>
    <w:p w:rsidR="007140BF" w:rsidRDefault="007140BF" w:rsidP="00CB22B7">
      <w:pPr>
        <w:ind w:left="720"/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 xml:space="preserve"> Flexible work environments impact salary structures and employment benefits globally.</w:t>
      </w:r>
    </w:p>
    <w:p w:rsidR="00CB22B7" w:rsidRDefault="00CB22B7" w:rsidP="00CB22B7">
      <w:pPr>
        <w:ind w:left="720"/>
        <w:rPr>
          <w:rFonts w:cstheme="minorHAnsi"/>
          <w:sz w:val="24"/>
          <w:szCs w:val="32"/>
        </w:rPr>
      </w:pPr>
    </w:p>
    <w:p w:rsidR="00CB22B7" w:rsidRDefault="00CB22B7" w:rsidP="00CB22B7">
      <w:pPr>
        <w:numPr>
          <w:ilvl w:val="0"/>
          <w:numId w:val="3"/>
        </w:num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4"/>
          <w:szCs w:val="32"/>
        </w:rPr>
        <w:t>Gender Wage Gap:</w:t>
      </w:r>
      <w:r w:rsidRPr="007140BF">
        <w:rPr>
          <w:rFonts w:cstheme="minorHAnsi"/>
          <w:sz w:val="24"/>
          <w:szCs w:val="32"/>
        </w:rPr>
        <w:t xml:space="preserve"> </w:t>
      </w:r>
    </w:p>
    <w:p w:rsidR="00CB22B7" w:rsidRDefault="00CB22B7" w:rsidP="00CB22B7">
      <w:pPr>
        <w:ind w:left="720"/>
        <w:rPr>
          <w:rFonts w:cstheme="minorHAnsi"/>
          <w:sz w:val="24"/>
          <w:szCs w:val="32"/>
        </w:rPr>
      </w:pPr>
      <w:r w:rsidRPr="007140BF">
        <w:rPr>
          <w:rFonts w:cstheme="minorHAnsi"/>
          <w:sz w:val="24"/>
          <w:szCs w:val="32"/>
        </w:rPr>
        <w:t>Disparities persist in multiple sectors, highlighting the need for equitable pay policies.</w:t>
      </w:r>
    </w:p>
    <w:p w:rsidR="00CB22B7" w:rsidRPr="007140BF" w:rsidRDefault="00CB22B7" w:rsidP="00CB22B7">
      <w:pPr>
        <w:ind w:left="720"/>
        <w:rPr>
          <w:rFonts w:cstheme="minorHAnsi"/>
          <w:sz w:val="24"/>
          <w:szCs w:val="32"/>
        </w:rPr>
      </w:pPr>
    </w:p>
    <w:p w:rsidR="007140BF" w:rsidRDefault="007140BF" w:rsidP="007140BF">
      <w:pPr>
        <w:rPr>
          <w:rFonts w:cstheme="minorHAnsi"/>
          <w:sz w:val="24"/>
          <w:szCs w:val="32"/>
        </w:rPr>
      </w:pPr>
    </w:p>
    <w:p w:rsidR="00CB22B7" w:rsidRPr="007140BF" w:rsidRDefault="00CB22B7" w:rsidP="007140BF">
      <w:pPr>
        <w:rPr>
          <w:rFonts w:cstheme="minorHAnsi"/>
          <w:sz w:val="24"/>
          <w:szCs w:val="32"/>
        </w:rPr>
      </w:pPr>
    </w:p>
    <w:p w:rsidR="005A5998" w:rsidRDefault="007140BF" w:rsidP="007140BF">
      <w:pPr>
        <w:rPr>
          <w:rFonts w:cstheme="minorHAnsi"/>
          <w:sz w:val="24"/>
          <w:szCs w:val="32"/>
        </w:rPr>
      </w:pPr>
      <w:r w:rsidRPr="007140BF">
        <w:rPr>
          <w:rFonts w:cstheme="minorHAnsi"/>
          <w:b/>
          <w:bCs/>
          <w:sz w:val="26"/>
          <w:szCs w:val="26"/>
        </w:rPr>
        <w:t>Conclusion:</w:t>
      </w:r>
      <w:r w:rsidRPr="007140BF">
        <w:rPr>
          <w:rFonts w:cstheme="minorHAnsi"/>
          <w:sz w:val="24"/>
          <w:szCs w:val="32"/>
        </w:rPr>
        <w:t xml:space="preserve"> </w:t>
      </w:r>
    </w:p>
    <w:p w:rsidR="00651CEA" w:rsidRPr="005A5998" w:rsidRDefault="005A5998">
      <w:pPr>
        <w:rPr>
          <w:rFonts w:cstheme="minorHAnsi"/>
          <w:sz w:val="24"/>
          <w:szCs w:val="32"/>
        </w:rPr>
      </w:pPr>
      <w:r w:rsidRPr="005A5998">
        <w:rPr>
          <w:rFonts w:cstheme="minorHAnsi"/>
          <w:sz w:val="24"/>
          <w:szCs w:val="32"/>
        </w:rPr>
        <w:t>The salary survey analysis provided valuable insights into salary trends and workforce management. Addressing education, experience, and diversity gaps can lead to a more balanced and competitive salary structure. The findings can help organizations implement better compensation and career development policies.</w:t>
      </w:r>
    </w:p>
    <w:sectPr w:rsidR="00651CEA" w:rsidRPr="005A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7273" w:rsidRDefault="00907273" w:rsidP="00CF3BEF">
      <w:pPr>
        <w:spacing w:after="0" w:line="240" w:lineRule="auto"/>
      </w:pPr>
      <w:r>
        <w:separator/>
      </w:r>
    </w:p>
  </w:endnote>
  <w:endnote w:type="continuationSeparator" w:id="0">
    <w:p w:rsidR="00907273" w:rsidRDefault="00907273" w:rsidP="00CF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7273" w:rsidRDefault="00907273" w:rsidP="00CF3BEF">
      <w:pPr>
        <w:spacing w:after="0" w:line="240" w:lineRule="auto"/>
      </w:pPr>
      <w:r>
        <w:separator/>
      </w:r>
    </w:p>
  </w:footnote>
  <w:footnote w:type="continuationSeparator" w:id="0">
    <w:p w:rsidR="00907273" w:rsidRDefault="00907273" w:rsidP="00CF3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D1C55"/>
    <w:multiLevelType w:val="multilevel"/>
    <w:tmpl w:val="37AC0DD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83031"/>
    <w:multiLevelType w:val="multilevel"/>
    <w:tmpl w:val="911455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645FB"/>
    <w:multiLevelType w:val="hybridMultilevel"/>
    <w:tmpl w:val="DC1E2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C17DA"/>
    <w:multiLevelType w:val="multilevel"/>
    <w:tmpl w:val="0158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666433">
    <w:abstractNumId w:val="1"/>
  </w:num>
  <w:num w:numId="2" w16cid:durableId="1692295502">
    <w:abstractNumId w:val="3"/>
  </w:num>
  <w:num w:numId="3" w16cid:durableId="1554652567">
    <w:abstractNumId w:val="0"/>
  </w:num>
  <w:num w:numId="4" w16cid:durableId="15691943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BF"/>
    <w:rsid w:val="00155813"/>
    <w:rsid w:val="00247841"/>
    <w:rsid w:val="005A5998"/>
    <w:rsid w:val="00651CEA"/>
    <w:rsid w:val="006B1D3D"/>
    <w:rsid w:val="007140BF"/>
    <w:rsid w:val="00883C41"/>
    <w:rsid w:val="00907273"/>
    <w:rsid w:val="00CB22B7"/>
    <w:rsid w:val="00CF3BEF"/>
    <w:rsid w:val="00EF30E9"/>
    <w:rsid w:val="00F7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AA32"/>
  <w15:chartTrackingRefBased/>
  <w15:docId w15:val="{9C8A4416-D7BC-4DF7-8D63-B74DF80F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0B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0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0B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40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40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0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BEF"/>
  </w:style>
  <w:style w:type="paragraph" w:styleId="Footer">
    <w:name w:val="footer"/>
    <w:basedOn w:val="Normal"/>
    <w:link w:val="FooterChar"/>
    <w:uiPriority w:val="99"/>
    <w:unhideWhenUsed/>
    <w:rsid w:val="00CF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J</dc:creator>
  <cp:keywords/>
  <dc:description/>
  <cp:lastModifiedBy>Akilan J</cp:lastModifiedBy>
  <cp:revision>2</cp:revision>
  <dcterms:created xsi:type="dcterms:W3CDTF">2025-02-08T14:13:00Z</dcterms:created>
  <dcterms:modified xsi:type="dcterms:W3CDTF">2025-02-08T15:54:00Z</dcterms:modified>
</cp:coreProperties>
</file>