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76" w:lineRule="auto"/>
      </w:pPr>
      <w:r>
        <w:rPr>
          <w:rFonts w:ascii="Aptos" w:hAnsi="Aptos"/>
          <w:b/>
          <w:color w:val="2563EB"/>
          <w:sz w:val="18"/>
        </w:rPr>
        <w:t>RESEARCH REPORT | PRODUCT DIRECTION</w:t>
      </w:r>
    </w:p>
    <w:p>
      <w:pPr>
        <w:pStyle w:val="Title"/>
        <w:spacing w:after="180"/>
      </w:pPr>
      <w:r>
        <w:rPr>
          <w:rFonts w:ascii="Aptos" w:hAnsi="Aptos"/>
          <w:b/>
          <w:color w:val="000000"/>
          <w:sz w:val="58"/>
        </w:rPr>
        <w:t>PXL Starter Playbook Research Report</w:t>
      </w:r>
    </w:p>
    <w:p>
      <w:pPr>
        <w:spacing w:before="0" w:after="360" w:line="276" w:lineRule="auto"/>
      </w:pPr>
      <w:r>
        <w:rPr>
          <w:rFonts w:ascii="Aptos" w:hAnsi="Aptos"/>
          <w:b w:val="0"/>
          <w:color w:val="3F5E79"/>
          <w:sz w:val="28"/>
        </w:rPr>
        <w:t>A concise view of competitor learning models, learner needs and the product direction for Starter Playbook.</w:t>
      </w:r>
    </w:p>
    <w:p>
      <w:pPr>
        <w:spacing w:before="0" w:after="440" w:line="276" w:lineRule="auto"/>
      </w:pPr>
      <w:r>
        <w:rPr>
          <w:rFonts w:ascii="Aptos" w:hAnsi="Aptos"/>
          <w:b/>
          <w:color w:val="15324B"/>
          <w:sz w:val="26"/>
        </w:rPr>
        <w:t>By Akilan and Muhammed Umer</w:t>
      </w:r>
    </w:p>
    <w:p>
      <w:pPr>
        <w:pStyle w:val="Heading1"/>
        <w:spacing w:before="140" w:after="200"/>
      </w:pPr>
      <w:r>
        <w:rPr>
          <w:rFonts w:ascii="Aptos" w:hAnsi="Aptos"/>
          <w:b/>
          <w:color w:val="000000"/>
          <w:sz w:val="36"/>
        </w:rPr>
        <w:t>Research link</w:t>
      </w:r>
    </w:p>
    <w:p>
      <w:pPr>
        <w:spacing w:before="0" w:after="400" w:line="276" w:lineRule="auto"/>
      </w:pPr>
      <w:r>
        <w:rPr>
          <w:rFonts w:ascii="Aptos" w:hAnsi="Aptos"/>
          <w:b w:val="0"/>
          <w:color w:val="2563EB"/>
          <w:sz w:val="20"/>
        </w:rPr>
        <w:t>https://app.notion.com/p/3e9a83de42f781b2a3f9f008edf2b157?pvs=204</w:t>
      </w:r>
    </w:p>
    <w:p>
      <w:pPr>
        <w:pStyle w:val="Heading1"/>
        <w:spacing w:before="140" w:after="200"/>
      </w:pPr>
      <w:r>
        <w:rPr>
          <w:rFonts w:ascii="Aptos" w:hAnsi="Aptos"/>
          <w:b/>
          <w:color w:val="000000"/>
          <w:sz w:val="36"/>
        </w:rPr>
        <w:t>Research direction</w:t>
      </w:r>
    </w:p>
    <w:p>
      <w:pPr>
        <w:spacing w:before="0" w:after="220" w:line="276" w:lineRule="auto"/>
      </w:pPr>
      <w:r>
        <w:rPr>
          <w:rFonts w:ascii="Aptos" w:hAnsi="Aptos"/>
          <w:b/>
          <w:color w:val="15324B"/>
          <w:sz w:val="34"/>
        </w:rPr>
        <w:t>Help learners move from understanding a tool to using it with confidence.</w:t>
      </w:r>
    </w:p>
    <w:p>
      <w:pPr>
        <w:spacing w:before="0" w:after="160" w:line="276" w:lineRule="auto"/>
      </w:pPr>
      <w:r>
        <w:rPr>
          <w:rFonts w:ascii="Aptos" w:hAnsi="Aptos"/>
          <w:b w:val="0"/>
          <w:color w:val="3F5E79"/>
          <w:sz w:val="26"/>
        </w:rPr>
        <w:t>The strongest signal from the research is clear direction + short structured learning + practical tasks + real-world application + proof that learners can do the work independently.</w:t>
      </w:r>
    </w:p>
    <w:p>
      <w:r>
        <w:br w:type="page"/>
      </w:r>
    </w:p>
    <w:p>
      <w:pPr>
        <w:spacing w:before="0" w:after="200" w:line="276" w:lineRule="auto"/>
      </w:pPr>
      <w:r>
        <w:rPr>
          <w:rFonts w:ascii="Aptos" w:hAnsi="Aptos"/>
          <w:b/>
          <w:color w:val="2563EB"/>
          <w:sz w:val="18"/>
        </w:rPr>
        <w:t>COMPETITOR LANDSCAPE</w:t>
      </w:r>
    </w:p>
    <w:p>
      <w:pPr>
        <w:pStyle w:val="Title"/>
        <w:spacing w:after="180"/>
      </w:pPr>
      <w:r>
        <w:rPr>
          <w:rFonts w:ascii="Aptos" w:hAnsi="Aptos"/>
          <w:b/>
          <w:color w:val="000000"/>
          <w:sz w:val="58"/>
        </w:rPr>
        <w:t>Competitor report</w:t>
      </w:r>
    </w:p>
    <w:p>
      <w:pPr>
        <w:spacing w:before="0" w:after="360" w:line="276" w:lineRule="auto"/>
      </w:pPr>
      <w:r>
        <w:rPr>
          <w:rFonts w:ascii="Aptos" w:hAnsi="Aptos"/>
          <w:b w:val="0"/>
          <w:color w:val="3F5E79"/>
          <w:sz w:val="28"/>
        </w:rPr>
        <w:t>The first group shows how learning models, practice and paid value differ across platforms.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1512"/>
            <w:shd w:fill="15324B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Platform</w:t>
            </w:r>
          </w:p>
        </w:tc>
        <w:tc>
          <w:tcPr>
            <w:tcW w:type="dxa" w:w="2664"/>
            <w:shd w:fill="15324B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Main focus / learning style</w:t>
            </w:r>
          </w:p>
        </w:tc>
        <w:tc>
          <w:tcPr>
            <w:tcW w:type="dxa" w:w="1368"/>
            <w:shd w:fill="15324B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Practical exposure</w:t>
            </w:r>
          </w:p>
        </w:tc>
        <w:tc>
          <w:tcPr>
            <w:tcW w:type="dxa" w:w="1728"/>
            <w:shd w:fill="15324B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Free access</w:t>
            </w:r>
          </w:p>
        </w:tc>
        <w:tc>
          <w:tcPr>
            <w:tcW w:type="dxa" w:w="5976"/>
            <w:shd w:fill="15324B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Paid value and takeaway</w:t>
            </w:r>
          </w:p>
        </w:tc>
      </w:tr>
      <w:tr>
        <w:tc>
          <w:tcPr>
            <w:tcW w:type="dxa" w:w="1512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/>
                <w:b/>
                <w:color w:val="15324B"/>
                <w:sz w:val="16"/>
              </w:rPr>
              <w:t>KodeKloud</w:t>
            </w:r>
          </w:p>
        </w:tc>
        <w:tc>
          <w:tcPr>
            <w:tcW w:type="dxa" w:w="2664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/>
                <w:b w:val="0"/>
                <w:color w:val="26394A"/>
                <w:sz w:val="16"/>
              </w:rPr>
              <w:t>DevOps, cloud and AI paths, courses and labs.</w:t>
            </w:r>
          </w:p>
        </w:tc>
        <w:tc>
          <w:tcPr>
            <w:tcW w:type="dxa" w:w="136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 w:val="0"/>
                <w:color w:val="26394A"/>
                <w:sz w:val="16"/>
              </w:rPr>
              <w:t>High</w:t>
            </w:r>
          </w:p>
        </w:tc>
        <w:tc>
          <w:tcPr>
            <w:tcW w:type="dxa" w:w="172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 w:val="0"/>
                <w:color w:val="26394A"/>
                <w:sz w:val="16"/>
              </w:rPr>
              <w:t>Limited introductory content.</w:t>
            </w:r>
          </w:p>
        </w:tc>
        <w:tc>
          <w:tcPr>
            <w:tcW w:type="dxa" w:w="5976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/>
                <w:b w:val="0"/>
                <w:color w:val="26394A"/>
                <w:sz w:val="16"/>
              </w:rPr>
              <w:t>Standard, Pro and AI plans. Labs are a strong benchmark; labs alone are not a differentiator.</w:t>
            </w:r>
          </w:p>
        </w:tc>
      </w:tr>
      <w:tr>
        <w:tc>
          <w:tcPr>
            <w:tcW w:type="dxa" w:w="1512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5F9FF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/>
                <w:b/>
                <w:color w:val="15324B"/>
                <w:sz w:val="16"/>
              </w:rPr>
              <w:t>Udemy</w:t>
            </w:r>
          </w:p>
        </w:tc>
        <w:tc>
          <w:tcPr>
            <w:tcW w:type="dxa" w:w="2664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5F9FF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/>
                <w:b w:val="0"/>
                <w:color w:val="26394A"/>
                <w:sz w:val="16"/>
              </w:rPr>
              <w:t>Broad instructor marketplace, mainly video-led.</w:t>
            </w:r>
          </w:p>
        </w:tc>
        <w:tc>
          <w:tcPr>
            <w:tcW w:type="dxa" w:w="136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5F9FF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 w:val="0"/>
                <w:color w:val="26394A"/>
                <w:sz w:val="16"/>
              </w:rPr>
              <w:t>Low-Medium</w:t>
            </w:r>
          </w:p>
        </w:tc>
        <w:tc>
          <w:tcPr>
            <w:tcW w:type="dxa" w:w="172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5F9FF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 w:val="0"/>
                <w:color w:val="26394A"/>
                <w:sz w:val="16"/>
              </w:rPr>
              <w:t>Some free courses.</w:t>
            </w:r>
          </w:p>
        </w:tc>
        <w:tc>
          <w:tcPr>
            <w:tcW w:type="dxa" w:w="5976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5F9FF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/>
                <w:b w:val="0"/>
                <w:color w:val="26394A"/>
                <w:sz w:val="16"/>
              </w:rPr>
              <w:t>One-time purchase or Personal Plan. Range is large, but course quality and practice vary.</w:t>
            </w:r>
          </w:p>
        </w:tc>
      </w:tr>
      <w:tr>
        <w:tc>
          <w:tcPr>
            <w:tcW w:type="dxa" w:w="1512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/>
                <w:b/>
                <w:color w:val="15324B"/>
                <w:sz w:val="16"/>
              </w:rPr>
              <w:t>DataCamp</w:t>
            </w:r>
          </w:p>
        </w:tc>
        <w:tc>
          <w:tcPr>
            <w:tcW w:type="dxa" w:w="2664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/>
                <w:b w:val="0"/>
                <w:color w:val="26394A"/>
                <w:sz w:val="16"/>
              </w:rPr>
              <w:t>Data and AI courses with interactive browser lessons.</w:t>
            </w:r>
          </w:p>
        </w:tc>
        <w:tc>
          <w:tcPr>
            <w:tcW w:type="dxa" w:w="136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 w:val="0"/>
                <w:color w:val="26394A"/>
                <w:sz w:val="16"/>
              </w:rPr>
              <w:t>High</w:t>
            </w:r>
          </w:p>
        </w:tc>
        <w:tc>
          <w:tcPr>
            <w:tcW w:type="dxa" w:w="172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 w:val="0"/>
                <w:color w:val="26394A"/>
                <w:sz w:val="16"/>
              </w:rPr>
              <w:t>First chapter of every course.</w:t>
            </w:r>
          </w:p>
        </w:tc>
        <w:tc>
          <w:tcPr>
            <w:tcW w:type="dxa" w:w="5976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/>
                <w:b w:val="0"/>
                <w:color w:val="26394A"/>
                <w:sz w:val="16"/>
              </w:rPr>
              <w:t>Premium: $28/month annually listed. Frequent exercises set a high expectation for practice.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200" w:line="276" w:lineRule="auto"/>
      </w:pPr>
      <w:r>
        <w:rPr>
          <w:rFonts w:ascii="Aptos" w:hAnsi="Aptos"/>
          <w:b/>
          <w:color w:val="2563EB"/>
          <w:sz w:val="18"/>
        </w:rPr>
        <w:t>COMPETITOR LANDSCAPE</w:t>
      </w:r>
    </w:p>
    <w:p>
      <w:pPr>
        <w:pStyle w:val="Title"/>
        <w:spacing w:after="180"/>
      </w:pPr>
      <w:r>
        <w:rPr>
          <w:rFonts w:ascii="Aptos" w:hAnsi="Aptos"/>
          <w:b/>
          <w:color w:val="000000"/>
          <w:sz w:val="58"/>
        </w:rPr>
        <w:t>Competitor report</w:t>
      </w:r>
    </w:p>
    <w:p>
      <w:pPr>
        <w:spacing w:before="0" w:after="360" w:line="276" w:lineRule="auto"/>
      </w:pPr>
      <w:r>
        <w:rPr>
          <w:rFonts w:ascii="Aptos" w:hAnsi="Aptos"/>
          <w:b w:val="0"/>
          <w:color w:val="3F5E79"/>
          <w:sz w:val="28"/>
        </w:rPr>
        <w:t>The second group is more focused on structured career learning, certificates and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1512"/>
            <w:shd w:fill="15324B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Platform</w:t>
            </w:r>
          </w:p>
        </w:tc>
        <w:tc>
          <w:tcPr>
            <w:tcW w:type="dxa" w:w="2664"/>
            <w:shd w:fill="15324B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Main focus / learning style</w:t>
            </w:r>
          </w:p>
        </w:tc>
        <w:tc>
          <w:tcPr>
            <w:tcW w:type="dxa" w:w="1368"/>
            <w:shd w:fill="15324B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Practical exposure</w:t>
            </w:r>
          </w:p>
        </w:tc>
        <w:tc>
          <w:tcPr>
            <w:tcW w:type="dxa" w:w="1728"/>
            <w:shd w:fill="15324B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Free access</w:t>
            </w:r>
          </w:p>
        </w:tc>
        <w:tc>
          <w:tcPr>
            <w:tcW w:type="dxa" w:w="5976"/>
            <w:shd w:fill="15324B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Paid value and takeaway</w:t>
            </w:r>
          </w:p>
        </w:tc>
      </w:tr>
      <w:tr>
        <w:tc>
          <w:tcPr>
            <w:tcW w:type="dxa" w:w="1512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/>
                <w:b/>
                <w:color w:val="15324B"/>
                <w:sz w:val="16"/>
              </w:rPr>
              <w:t>NxtWave</w:t>
            </w:r>
          </w:p>
        </w:tc>
        <w:tc>
          <w:tcPr>
            <w:tcW w:type="dxa" w:w="2664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/>
                <w:b w:val="0"/>
                <w:color w:val="26394A"/>
                <w:sz w:val="16"/>
              </w:rPr>
              <w:t>Career learning with projects, mentoring and placement support.</w:t>
            </w:r>
          </w:p>
        </w:tc>
        <w:tc>
          <w:tcPr>
            <w:tcW w:type="dxa" w:w="136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 w:val="0"/>
                <w:color w:val="26394A"/>
                <w:sz w:val="16"/>
              </w:rPr>
              <w:t>Medium-High</w:t>
            </w:r>
          </w:p>
        </w:tc>
        <w:tc>
          <w:tcPr>
            <w:tcW w:type="dxa" w:w="172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 w:val="0"/>
                <w:color w:val="26394A"/>
                <w:sz w:val="16"/>
              </w:rPr>
              <w:t>Varies by program.</w:t>
            </w:r>
          </w:p>
        </w:tc>
        <w:tc>
          <w:tcPr>
            <w:tcW w:type="dxa" w:w="5976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/>
                <w:b w:val="0"/>
                <w:color w:val="26394A"/>
                <w:sz w:val="16"/>
              </w:rPr>
              <w:t>Launchpad: INR 11,999/year listed. A strong role roadmap; prices differ by program.</w:t>
            </w:r>
          </w:p>
        </w:tc>
      </w:tr>
      <w:tr>
        <w:tc>
          <w:tcPr>
            <w:tcW w:type="dxa" w:w="1512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5F9FF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/>
                <w:b/>
                <w:color w:val="15324B"/>
                <w:sz w:val="16"/>
              </w:rPr>
              <w:t>Coursera</w:t>
            </w:r>
          </w:p>
        </w:tc>
        <w:tc>
          <w:tcPr>
            <w:tcW w:type="dxa" w:w="2664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5F9FF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/>
                <w:b w:val="0"/>
                <w:color w:val="26394A"/>
                <w:sz w:val="16"/>
              </w:rPr>
              <w:t>University and company courses, certificates and degrees.</w:t>
            </w:r>
          </w:p>
        </w:tc>
        <w:tc>
          <w:tcPr>
            <w:tcW w:type="dxa" w:w="136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5F9FF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 w:val="0"/>
                <w:color w:val="26394A"/>
                <w:sz w:val="16"/>
              </w:rPr>
              <w:t>Medium</w:t>
            </w:r>
          </w:p>
        </w:tc>
        <w:tc>
          <w:tcPr>
            <w:tcW w:type="dxa" w:w="172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5F9FF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 w:val="0"/>
                <w:color w:val="26394A"/>
                <w:sz w:val="16"/>
              </w:rPr>
              <w:t>Free/audit access varies.</w:t>
            </w:r>
          </w:p>
        </w:tc>
        <w:tc>
          <w:tcPr>
            <w:tcW w:type="dxa" w:w="5976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shd w:fill="F5F9FF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/>
                <w:b w:val="0"/>
                <w:color w:val="26394A"/>
                <w:sz w:val="16"/>
              </w:rPr>
              <w:t>$49-$79/month for many programs. Strong credibility; completion does not prove independent skill.</w:t>
            </w:r>
          </w:p>
        </w:tc>
      </w:tr>
      <w:tr>
        <w:tc>
          <w:tcPr>
            <w:tcW w:type="dxa" w:w="1512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/>
                <w:b/>
                <w:color w:val="15324B"/>
                <w:sz w:val="16"/>
              </w:rPr>
              <w:t>Udacity</w:t>
            </w:r>
          </w:p>
        </w:tc>
        <w:tc>
          <w:tcPr>
            <w:tcW w:type="dxa" w:w="2664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/>
                <w:b w:val="0"/>
                <w:color w:val="26394A"/>
                <w:sz w:val="16"/>
              </w:rPr>
              <w:t>Career programs with projects, reviews and support.</w:t>
            </w:r>
          </w:p>
        </w:tc>
        <w:tc>
          <w:tcPr>
            <w:tcW w:type="dxa" w:w="136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 w:val="0"/>
                <w:color w:val="26394A"/>
                <w:sz w:val="16"/>
              </w:rPr>
              <w:t>High</w:t>
            </w:r>
          </w:p>
        </w:tc>
        <w:tc>
          <w:tcPr>
            <w:tcW w:type="dxa" w:w="172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Aptos" w:hAnsi="Aptos"/>
                <w:b w:val="0"/>
                <w:color w:val="26394A"/>
                <w:sz w:val="16"/>
              </w:rPr>
              <w:t>Free course content.</w:t>
            </w:r>
          </w:p>
        </w:tc>
        <w:tc>
          <w:tcPr>
            <w:tcW w:type="dxa" w:w="5976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  <w:insideH w:val="single" w:sz="6" w:color="D9E2EC"/>
              <w:insideV w:val="single" w:sz="6" w:color="D9E2EC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ptos" w:hAnsi="Aptos"/>
                <w:b w:val="0"/>
                <w:color w:val="26394A"/>
                <w:sz w:val="16"/>
              </w:rPr>
              <w:t>$249/month listed. Projects help, but feedback quality and freshness matter.</w:t>
            </w:r>
          </w:p>
        </w:tc>
      </w:tr>
    </w:tbl>
    <w:p>
      <w:pPr>
        <w:spacing w:after="0"/>
      </w:pPr>
    </w:p>
    <w:p>
      <w:pPr>
        <w:spacing w:before="300" w:after="160" w:line="276" w:lineRule="auto"/>
      </w:pPr>
      <w:r>
        <w:rPr>
          <w:rFonts w:ascii="Aptos" w:hAnsi="Aptos"/>
          <w:b/>
          <w:color w:val="15324B"/>
          <w:sz w:val="22"/>
        </w:rPr>
        <w:t>Shared pattern: Free introductory content lowers the barrier to try a platform. Paid plans promise deeper paths, more practice, projects, feedback or career support.</w:t>
      </w:r>
    </w:p>
    <w:p>
      <w:pPr>
        <w:spacing w:before="0" w:after="160" w:line="276" w:lineRule="auto"/>
      </w:pPr>
      <w:r>
        <w:rPr>
          <w:rFonts w:ascii="Aptos" w:hAnsi="Aptos"/>
          <w:b w:val="0"/>
          <w:color w:val="3F5E79"/>
          <w:sz w:val="22"/>
        </w:rPr>
        <w:t>Starter Playbook implication: A free entry point can work, provided the paid experience leads to a clearer practical outcome than 'more content.'</w:t>
      </w:r>
    </w:p>
    <w:p>
      <w:r>
        <w:br w:type="page"/>
      </w:r>
    </w:p>
    <w:p>
      <w:pPr>
        <w:spacing w:before="0" w:after="200" w:line="276" w:lineRule="auto"/>
      </w:pPr>
      <w:r>
        <w:rPr>
          <w:rFonts w:ascii="Aptos" w:hAnsi="Aptos"/>
          <w:b/>
          <w:color w:val="2563EB"/>
          <w:sz w:val="18"/>
        </w:rPr>
        <w:t>OUR MAIN DIRECTION</w:t>
      </w:r>
    </w:p>
    <w:p>
      <w:pPr>
        <w:pStyle w:val="Title"/>
        <w:spacing w:after="180"/>
      </w:pPr>
      <w:r>
        <w:rPr>
          <w:rFonts w:ascii="Aptos" w:hAnsi="Aptos"/>
          <w:b/>
          <w:color w:val="000000"/>
          <w:sz w:val="58"/>
        </w:rPr>
        <w:t>Make the learning tool-specific</w:t>
      </w:r>
    </w:p>
    <w:p>
      <w:pPr>
        <w:spacing w:before="0" w:after="360" w:line="276" w:lineRule="auto"/>
      </w:pPr>
      <w:r>
        <w:rPr>
          <w:rFonts w:ascii="Aptos" w:hAnsi="Aptos"/>
          <w:b w:val="0"/>
          <w:color w:val="3F5E79"/>
          <w:sz w:val="28"/>
        </w:rPr>
        <w:t>Learners should see the right explanation, then use the tool in the same session. The content format can change, but the practice should stay tied to the tool being learned.</w:t>
      </w:r>
    </w:p>
    <w:p>
      <w:pPr>
        <w:spacing w:before="140" w:after="360"/>
        <w:jc w:val="center"/>
      </w:pPr>
      <w:r>
        <w:rPr>
          <w:rFonts w:ascii="Aptos" w:hAnsi="Aptos"/>
          <w:b/>
          <w:color w:val="15324B"/>
          <w:sz w:val="24"/>
        </w:rPr>
        <w:t>Short video or slides</w:t>
      </w:r>
      <w:r>
        <w:rPr>
          <w:rFonts w:ascii="Aptos" w:hAnsi="Aptos"/>
          <w:b/>
          <w:color w:val="2563EB"/>
          <w:sz w:val="24"/>
        </w:rPr>
        <w:t xml:space="preserve">  -&gt;  </w:t>
      </w:r>
      <w:r>
        <w:rPr>
          <w:rFonts w:ascii="Aptos" w:hAnsi="Aptos"/>
          <w:b/>
          <w:color w:val="15324B"/>
          <w:sz w:val="24"/>
        </w:rPr>
        <w:t>Tool walkthrough</w:t>
      </w:r>
      <w:r>
        <w:rPr>
          <w:rFonts w:ascii="Aptos" w:hAnsi="Aptos"/>
          <w:b/>
          <w:color w:val="2563EB"/>
          <w:sz w:val="24"/>
        </w:rPr>
        <w:t xml:space="preserve">  -&gt;  </w:t>
      </w:r>
      <w:r>
        <w:rPr>
          <w:rFonts w:ascii="Aptos" w:hAnsi="Aptos"/>
          <w:b/>
          <w:color w:val="15324B"/>
          <w:sz w:val="24"/>
        </w:rPr>
        <w:t>Guided practice</w:t>
      </w:r>
      <w:r>
        <w:rPr>
          <w:rFonts w:ascii="Aptos" w:hAnsi="Aptos"/>
          <w:b/>
          <w:color w:val="2563EB"/>
          <w:sz w:val="24"/>
        </w:rPr>
        <w:t xml:space="preserve">  -&gt;  </w:t>
      </w:r>
      <w:r>
        <w:rPr>
          <w:rFonts w:ascii="Aptos" w:hAnsi="Aptos"/>
          <w:b/>
          <w:color w:val="15324B"/>
          <w:sz w:val="24"/>
        </w:rPr>
        <w:t>Tool-specific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56"/>
        <w:gridCol w:w="7056"/>
      </w:tblGrid>
      <w:tr>
        <w:tc>
          <w:tcPr>
            <w:tcW w:type="dxa" w:w="5760"/>
            <w:vAlign w:val="top"/>
            <w:tcMar>
              <w:top w:w="80" w:type="dxa"/>
              <w:start w:w="110" w:type="dxa"/>
              <w:bottom w:w="120" w:type="dxa"/>
              <w:end w:w="11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5324B"/>
                <w:sz w:val="24"/>
              </w:rPr>
              <w:t>1. Teach the task clearly</w:t>
            </w:r>
          </w:p>
          <w:p>
            <w:pPr>
              <w:spacing w:after="240" w:line="264" w:lineRule="auto"/>
            </w:pPr>
            <w:r>
              <w:rPr>
                <w:rFonts w:ascii="Aptos" w:hAnsi="Aptos"/>
                <w:b w:val="0"/>
                <w:color w:val="3F5E79"/>
                <w:sz w:val="21"/>
              </w:rPr>
              <w:t>Use short videos, slides, diagrams or a live walkthrough. The format should fit the topic and avoid turning every lesson into a long recording.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120" w:type="dxa"/>
              <w:end w:w="11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5324B"/>
                <w:sz w:val="24"/>
              </w:rPr>
              <w:t>2. Keep the tool in view</w:t>
            </w:r>
          </w:p>
          <w:p>
            <w:pPr>
              <w:spacing w:after="240" w:line="264" w:lineRule="auto"/>
            </w:pPr>
            <w:r>
              <w:rPr>
                <w:rFonts w:ascii="Aptos" w:hAnsi="Aptos"/>
                <w:b w:val="0"/>
                <w:color w:val="3F5E79"/>
                <w:sz w:val="21"/>
              </w:rPr>
              <w:t>Show what the learner needs to do inside the relevant tool. A Git lesson should use Git workflows; a cloud lesson should use the cloud interface or lab.</w:t>
            </w:r>
          </w:p>
        </w:tc>
      </w:tr>
      <w:tr>
        <w:tc>
          <w:tcPr>
            <w:tcW w:type="dxa" w:w="5760"/>
            <w:vAlign w:val="top"/>
            <w:tcMar>
              <w:top w:w="80" w:type="dxa"/>
              <w:start w:w="110" w:type="dxa"/>
              <w:bottom w:w="120" w:type="dxa"/>
              <w:end w:w="11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5324B"/>
                <w:sz w:val="24"/>
              </w:rPr>
              <w:t>3. Check understanding soon after</w:t>
            </w:r>
          </w:p>
          <w:p>
            <w:pPr>
              <w:spacing w:after="240" w:line="264" w:lineRule="auto"/>
            </w:pPr>
            <w:r>
              <w:rPr>
                <w:rFonts w:ascii="Aptos" w:hAnsi="Aptos"/>
                <w:b w:val="0"/>
                <w:color w:val="3F5E79"/>
                <w:sz w:val="21"/>
              </w:rPr>
              <w:t>Ask questions or give a small activity while the steps and decisions are still fresh.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120" w:type="dxa"/>
              <w:end w:w="11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5324B"/>
                <w:sz w:val="24"/>
              </w:rPr>
              <w:t>4. Build toward real work</w:t>
            </w:r>
          </w:p>
          <w:p>
            <w:pPr>
              <w:spacing w:after="240" w:line="264" w:lineRule="auto"/>
            </w:pPr>
            <w:r>
              <w:rPr>
                <w:rFonts w:ascii="Aptos" w:hAnsi="Aptos"/>
                <w:b w:val="0"/>
                <w:color w:val="3F5E79"/>
                <w:sz w:val="21"/>
              </w:rPr>
              <w:t>Later modules can combine several tools into a realistic task. The first step is still a clear tool-specific foundation.</w:t>
            </w:r>
          </w:p>
        </w:tc>
      </w:tr>
    </w:tbl>
    <w:p>
      <w:r>
        <w:br w:type="page"/>
      </w:r>
    </w:p>
    <w:p>
      <w:pPr>
        <w:spacing w:before="0" w:after="200" w:line="276" w:lineRule="auto"/>
      </w:pPr>
      <w:r>
        <w:rPr>
          <w:rFonts w:ascii="Aptos" w:hAnsi="Aptos"/>
          <w:b/>
          <w:color w:val="2563EB"/>
          <w:sz w:val="18"/>
        </w:rPr>
        <w:t>WHAT WE WILL PROVIDE</w:t>
      </w:r>
    </w:p>
    <w:p>
      <w:pPr>
        <w:pStyle w:val="Title"/>
        <w:spacing w:after="180"/>
      </w:pPr>
      <w:r>
        <w:rPr>
          <w:rFonts w:ascii="Aptos" w:hAnsi="Aptos"/>
          <w:b/>
          <w:color w:val="000000"/>
          <w:sz w:val="58"/>
        </w:rPr>
        <w:t>Give learners a clear finish line</w:t>
      </w:r>
    </w:p>
    <w:p>
      <w:pPr>
        <w:spacing w:before="0" w:after="360" w:line="276" w:lineRule="auto"/>
      </w:pPr>
      <w:r>
        <w:rPr>
          <w:rFonts w:ascii="Aptos" w:hAnsi="Aptos"/>
          <w:b w:val="0"/>
          <w:color w:val="3F5E79"/>
          <w:sz w:val="28"/>
        </w:rPr>
        <w:t>Each tool-specific unit should show what the learner will receive, how progress is checked and when a certificate is issued.</w:t>
      </w:r>
    </w:p>
    <w:p>
      <w:pPr>
        <w:spacing w:before="140" w:after="360"/>
        <w:jc w:val="center"/>
      </w:pPr>
      <w:r>
        <w:rPr>
          <w:rFonts w:ascii="Aptos" w:hAnsi="Aptos"/>
          <w:b/>
          <w:color w:val="15324B"/>
          <w:sz w:val="24"/>
        </w:rPr>
        <w:t>Learn with video or slides</w:t>
      </w:r>
      <w:r>
        <w:rPr>
          <w:rFonts w:ascii="Aptos" w:hAnsi="Aptos"/>
          <w:b/>
          <w:color w:val="2563EB"/>
          <w:sz w:val="24"/>
        </w:rPr>
        <w:t xml:space="preserve">  -&gt;  </w:t>
      </w:r>
      <w:r>
        <w:rPr>
          <w:rFonts w:ascii="Aptos" w:hAnsi="Aptos"/>
          <w:b/>
          <w:color w:val="15324B"/>
          <w:sz w:val="24"/>
        </w:rPr>
        <w:t>Practice in the tool</w:t>
      </w:r>
      <w:r>
        <w:rPr>
          <w:rFonts w:ascii="Aptos" w:hAnsi="Aptos"/>
          <w:b/>
          <w:color w:val="2563EB"/>
          <w:sz w:val="24"/>
        </w:rPr>
        <w:t xml:space="preserve">  -&gt;  </w:t>
      </w:r>
      <w:r>
        <w:rPr>
          <w:rFonts w:ascii="Aptos" w:hAnsi="Aptos"/>
          <w:b/>
          <w:color w:val="15324B"/>
          <w:sz w:val="24"/>
        </w:rPr>
        <w:t>Complete tool-specific quiz</w:t>
      </w:r>
      <w:r>
        <w:rPr>
          <w:rFonts w:ascii="Aptos" w:hAnsi="Aptos"/>
          <w:b/>
          <w:color w:val="2563EB"/>
          <w:sz w:val="24"/>
        </w:rPr>
        <w:t xml:space="preserve">  -&gt;  </w:t>
      </w:r>
      <w:r>
        <w:rPr>
          <w:rFonts w:ascii="Aptos" w:hAnsi="Aptos"/>
          <w:b/>
          <w:color w:val="15324B"/>
          <w:sz w:val="24"/>
        </w:rPr>
        <w:t>Finish required check</w:t>
      </w:r>
      <w:r>
        <w:rPr>
          <w:rFonts w:ascii="Aptos" w:hAnsi="Aptos"/>
          <w:b/>
          <w:color w:val="2563EB"/>
          <w:sz w:val="24"/>
        </w:rPr>
        <w:t xml:space="preserve">  -&gt;  </w:t>
      </w:r>
      <w:r>
        <w:rPr>
          <w:rFonts w:ascii="Aptos" w:hAnsi="Aptos"/>
          <w:b/>
          <w:color w:val="15324B"/>
          <w:sz w:val="24"/>
        </w:rPr>
        <w:t>Receive certificate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56"/>
        <w:gridCol w:w="7056"/>
      </w:tblGrid>
      <w:tr>
        <w:tc>
          <w:tcPr>
            <w:tcW w:type="dxa" w:w="5760"/>
            <w:vAlign w:val="top"/>
            <w:tcMar>
              <w:top w:w="80" w:type="dxa"/>
              <w:start w:w="110" w:type="dxa"/>
              <w:bottom w:w="120" w:type="dxa"/>
              <w:end w:w="11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5324B"/>
                <w:sz w:val="24"/>
              </w:rPr>
              <w:t>What we provide</w:t>
            </w:r>
          </w:p>
          <w:p>
            <w:pPr>
              <w:spacing w:after="240" w:line="264" w:lineRule="auto"/>
            </w:pPr>
            <w:r>
              <w:rPr>
                <w:rFonts w:ascii="Aptos" w:hAnsi="Aptos"/>
                <w:b w:val="0"/>
                <w:color w:val="3F5E79"/>
                <w:sz w:val="21"/>
              </w:rPr>
              <w:t>Short explanations, guided practice, tool-specific quizzes and clear feedback. Selected paths can also include a practical check.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120" w:type="dxa"/>
              <w:end w:w="11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5324B"/>
                <w:sz w:val="24"/>
              </w:rPr>
              <w:t>How certification works</w:t>
            </w:r>
          </w:p>
          <w:p>
            <w:pPr>
              <w:spacing w:after="240" w:line="264" w:lineRule="auto"/>
            </w:pPr>
            <w:r>
              <w:rPr>
                <w:rFonts w:ascii="Aptos" w:hAnsi="Aptos"/>
                <w:b w:val="0"/>
                <w:color w:val="3F5E79"/>
                <w:sz w:val="21"/>
              </w:rPr>
              <w:t>A certificate is issued after the learner completes the required content and checks for that unit. It records completion and assessed activities; it should not claim to guarantee job readiness.</w:t>
            </w:r>
          </w:p>
        </w:tc>
      </w:tr>
      <w:tr>
        <w:tc>
          <w:tcPr>
            <w:tcW w:type="dxa" w:w="5760"/>
            <w:vAlign w:val="top"/>
            <w:tcMar>
              <w:top w:w="80" w:type="dxa"/>
              <w:start w:w="110" w:type="dxa"/>
              <w:bottom w:w="120" w:type="dxa"/>
              <w:end w:w="11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5324B"/>
                <w:sz w:val="24"/>
              </w:rPr>
              <w:t>For the learner</w:t>
            </w:r>
          </w:p>
          <w:p>
            <w:pPr>
              <w:spacing w:after="240" w:line="264" w:lineRule="auto"/>
            </w:pPr>
            <w:r>
              <w:rPr>
                <w:rFonts w:ascii="Aptos" w:hAnsi="Aptos"/>
                <w:b w:val="0"/>
                <w:color w:val="3F5E79"/>
                <w:sz w:val="21"/>
              </w:rPr>
              <w:t>They can see the route from the first lesson to a completed, documented unit.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120" w:type="dxa"/>
              <w:end w:w="11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5324B"/>
                <w:sz w:val="24"/>
              </w:rPr>
              <w:t>For the product</w:t>
            </w:r>
          </w:p>
          <w:p>
            <w:pPr>
              <w:spacing w:after="240" w:line="264" w:lineRule="auto"/>
            </w:pPr>
            <w:r>
              <w:rPr>
                <w:rFonts w:ascii="Aptos" w:hAnsi="Aptos"/>
                <w:b w:val="0"/>
                <w:color w:val="3F5E79"/>
                <w:sz w:val="21"/>
              </w:rPr>
              <w:t>The completion rules stay consistent even when content is delivered through videos, slides or different tool environments.</w:t>
            </w:r>
          </w:p>
        </w:tc>
      </w:tr>
    </w:tbl>
    <w:p>
      <w:r>
        <w:br w:type="page"/>
      </w:r>
    </w:p>
    <w:p>
      <w:pPr>
        <w:spacing w:before="0" w:after="200" w:line="276" w:lineRule="auto"/>
      </w:pPr>
      <w:r>
        <w:rPr>
          <w:rFonts w:ascii="Aptos" w:hAnsi="Aptos"/>
          <w:b/>
          <w:color w:val="2563EB"/>
          <w:sz w:val="18"/>
        </w:rPr>
        <w:t>EVALUATION</w:t>
      </w:r>
    </w:p>
    <w:p>
      <w:pPr>
        <w:pStyle w:val="Title"/>
        <w:spacing w:after="180"/>
      </w:pPr>
      <w:r>
        <w:rPr>
          <w:rFonts w:ascii="Aptos" w:hAnsi="Aptos"/>
          <w:b/>
          <w:color w:val="000000"/>
          <w:sz w:val="58"/>
        </w:rPr>
        <w:t>How do we evaluate learners?</w:t>
      </w:r>
    </w:p>
    <w:p>
      <w:pPr>
        <w:spacing w:before="0" w:after="360" w:line="276" w:lineRule="auto"/>
      </w:pPr>
      <w:r>
        <w:rPr>
          <w:rFonts w:ascii="Aptos" w:hAnsi="Aptos"/>
          <w:b w:val="0"/>
          <w:color w:val="3F5E79"/>
          <w:sz w:val="28"/>
        </w:rPr>
        <w:t>There are two possible approaches. Both can be useful, but they work at different stages of the product.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56"/>
        <w:gridCol w:w="7056"/>
      </w:tblGrid>
      <w:tr>
        <w:tc>
          <w:tcPr>
            <w:tcW w:type="dxa" w:w="5760"/>
            <w:vAlign w:val="top"/>
            <w:tcMar>
              <w:top w:w="80" w:type="dxa"/>
              <w:start w:w="110" w:type="dxa"/>
              <w:bottom w:w="120" w:type="dxa"/>
              <w:end w:w="11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5324B"/>
                <w:sz w:val="24"/>
              </w:rPr>
              <w:t>Approach 1: Make learners complete a task and check that</w:t>
            </w:r>
          </w:p>
          <w:p>
            <w:pPr>
              <w:spacing w:after="240" w:line="264" w:lineRule="auto"/>
            </w:pPr>
            <w:r>
              <w:rPr>
                <w:rFonts w:ascii="Aptos" w:hAnsi="Aptos"/>
                <w:b w:val="0"/>
                <w:color w:val="3F5E79"/>
                <w:sz w:val="21"/>
              </w:rPr>
              <w:t>Give a task in the relevant tool, then validate the work or review the output. This gives stronger evidence that the learner can do the work.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120" w:type="dxa"/>
              <w:end w:w="11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5324B"/>
                <w:sz w:val="24"/>
              </w:rPr>
              <w:t>Approach 2: Interactive tool-specific quizzes</w:t>
            </w:r>
          </w:p>
          <w:p>
            <w:pPr>
              <w:spacing w:after="240" w:line="264" w:lineRule="auto"/>
            </w:pPr>
            <w:r>
              <w:rPr>
                <w:rFonts w:ascii="Aptos" w:hAnsi="Aptos"/>
                <w:b w:val="0"/>
                <w:color w:val="3F5E79"/>
                <w:sz w:val="21"/>
              </w:rPr>
              <w:t>Ask questions linked to the video, the tool and the decisions the learner needs to make. This keeps learners active and is easier to apply across many tools.</w:t>
            </w:r>
          </w:p>
        </w:tc>
      </w:tr>
      <w:tr>
        <w:tc>
          <w:tcPr>
            <w:tcW w:type="dxa" w:w="5760"/>
            <w:vAlign w:val="top"/>
            <w:tcMar>
              <w:top w:w="80" w:type="dxa"/>
              <w:start w:w="110" w:type="dxa"/>
              <w:bottom w:w="120" w:type="dxa"/>
              <w:end w:w="11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5324B"/>
                <w:sz w:val="24"/>
              </w:rPr>
              <w:t>Task completion</w:t>
            </w:r>
          </w:p>
          <w:p>
            <w:pPr>
              <w:spacing w:after="240" w:line="264" w:lineRule="auto"/>
            </w:pPr>
            <w:r>
              <w:rPr>
                <w:rFonts w:ascii="Aptos" w:hAnsi="Aptos"/>
                <w:b w:val="0"/>
                <w:color w:val="3F5E79"/>
                <w:sz w:val="21"/>
              </w:rPr>
              <w:t>Best evidence of practical ability, but it needs tool environments, checking logic and support when learners get stuck.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120" w:type="dxa"/>
              <w:end w:w="11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5324B"/>
                <w:sz w:val="24"/>
              </w:rPr>
              <w:t>Tool-specific quizzes</w:t>
            </w:r>
          </w:p>
          <w:p>
            <w:pPr>
              <w:spacing w:after="240" w:line="264" w:lineRule="auto"/>
            </w:pPr>
            <w:r>
              <w:rPr>
                <w:rFonts w:ascii="Aptos" w:hAnsi="Aptos"/>
                <w:b w:val="0"/>
                <w:color w:val="3F5E79"/>
                <w:sz w:val="21"/>
              </w:rPr>
              <w:t>Easy to standardize across tools, quick to complete and useful for checking understanding before moving to larger practical work.</w:t>
            </w:r>
          </w:p>
        </w:tc>
      </w:tr>
    </w:tbl>
    <w:p>
      <w:r>
        <w:br w:type="page"/>
      </w:r>
    </w:p>
    <w:p>
      <w:pPr>
        <w:spacing w:before="0" w:after="200" w:line="276" w:lineRule="auto"/>
      </w:pPr>
      <w:r>
        <w:rPr>
          <w:rFonts w:ascii="Aptos" w:hAnsi="Aptos"/>
          <w:b/>
          <w:color w:val="2563EB"/>
          <w:sz w:val="18"/>
        </w:rPr>
        <w:t>APPROACH 1</w:t>
      </w:r>
    </w:p>
    <w:p>
      <w:pPr>
        <w:pStyle w:val="Title"/>
        <w:spacing w:after="180"/>
      </w:pPr>
      <w:r>
        <w:rPr>
          <w:rFonts w:ascii="Aptos" w:hAnsi="Aptos"/>
          <w:b/>
          <w:color w:val="000000"/>
          <w:sz w:val="58"/>
        </w:rPr>
        <w:t>Task completion gives stronger evidence, but it is costly to scale</w:t>
      </w:r>
    </w:p>
    <w:p>
      <w:pPr>
        <w:spacing w:before="0" w:after="360" w:line="276" w:lineRule="auto"/>
      </w:pPr>
      <w:r>
        <w:rPr>
          <w:rFonts w:ascii="Aptos" w:hAnsi="Aptos"/>
          <w:b w:val="0"/>
          <w:color w:val="3F5E79"/>
          <w:sz w:val="28"/>
        </w:rPr>
        <w:t>Practical tasks should stay in the product, but they need to be used where they add the most value.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56"/>
        <w:gridCol w:w="7056"/>
      </w:tblGrid>
      <w:tr>
        <w:tc>
          <w:tcPr>
            <w:tcW w:type="dxa" w:w="5760"/>
            <w:vAlign w:val="top"/>
            <w:tcMar>
              <w:top w:w="80" w:type="dxa"/>
              <w:start w:w="110" w:type="dxa"/>
              <w:bottom w:w="120" w:type="dxa"/>
              <w:end w:w="11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5324B"/>
                <w:sz w:val="24"/>
              </w:rPr>
              <w:t>What it looks like</w:t>
            </w:r>
          </w:p>
          <w:p>
            <w:pPr>
              <w:spacing w:after="240" w:line="264" w:lineRule="auto"/>
            </w:pPr>
            <w:r>
              <w:rPr>
                <w:rFonts w:ascii="Aptos" w:hAnsi="Aptos"/>
                <w:b w:val="0"/>
                <w:color w:val="3F5E79"/>
                <w:sz w:val="21"/>
              </w:rPr>
              <w:t>The learner completes a task in a tool. The product checks the result, asks for an output or gives a reviewer enough evidence to confirm the work.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120" w:type="dxa"/>
              <w:end w:w="11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5324B"/>
                <w:sz w:val="24"/>
              </w:rPr>
              <w:t>Why it becomes difficult</w:t>
            </w:r>
          </w:p>
          <w:p>
            <w:pPr>
              <w:spacing w:after="240" w:line="264" w:lineRule="auto"/>
            </w:pPr>
            <w:r>
              <w:rPr>
                <w:rFonts w:ascii="Aptos" w:hAnsi="Aptos"/>
                <w:b w:val="0"/>
                <w:color w:val="3F5E79"/>
                <w:sz w:val="21"/>
              </w:rPr>
              <w:t>Starter Playbook will be tool-specific and many tools can be added. Every tool may need its own environment, validation rules, task setup and help flow.</w:t>
            </w:r>
          </w:p>
        </w:tc>
      </w:tr>
      <w:tr>
        <w:tc>
          <w:tcPr>
            <w:tcW w:type="dxa" w:w="5760"/>
            <w:vAlign w:val="top"/>
            <w:tcMar>
              <w:top w:w="80" w:type="dxa"/>
              <w:start w:w="110" w:type="dxa"/>
              <w:bottom w:w="120" w:type="dxa"/>
              <w:end w:w="11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5324B"/>
                <w:sz w:val="24"/>
              </w:rPr>
              <w:t>Use it where it matters most</w:t>
            </w:r>
          </w:p>
          <w:p>
            <w:pPr>
              <w:spacing w:after="240" w:line="264" w:lineRule="auto"/>
            </w:pPr>
            <w:r>
              <w:rPr>
                <w:rFonts w:ascii="Aptos" w:hAnsi="Aptos"/>
                <w:b w:val="0"/>
                <w:color w:val="3F5E79"/>
                <w:sz w:val="21"/>
              </w:rPr>
              <w:t>Keep practical checks for important milestones or end-of-unit work, where proof of ability is more valuable.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120" w:type="dxa"/>
              <w:end w:w="11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5324B"/>
                <w:sz w:val="24"/>
              </w:rPr>
              <w:t>Do not make every lesson a lab</w:t>
            </w:r>
          </w:p>
          <w:p>
            <w:pPr>
              <w:spacing w:after="240" w:line="264" w:lineRule="auto"/>
            </w:pPr>
            <w:r>
              <w:rPr>
                <w:rFonts w:ascii="Aptos" w:hAnsi="Aptos"/>
                <w:b w:val="0"/>
                <w:color w:val="3F5E79"/>
                <w:sz w:val="21"/>
              </w:rPr>
              <w:t>A lab for every small concept will make the product slower and harder to maintain. Short quizzes can keep the learning active between practical checks.</w:t>
            </w:r>
          </w:p>
        </w:tc>
      </w:tr>
    </w:tbl>
    <w:p>
      <w:r>
        <w:br w:type="page"/>
      </w:r>
    </w:p>
    <w:p>
      <w:pPr>
        <w:spacing w:before="0" w:after="200" w:line="276" w:lineRule="auto"/>
      </w:pPr>
      <w:r>
        <w:rPr>
          <w:rFonts w:ascii="Aptos" w:hAnsi="Aptos"/>
          <w:b/>
          <w:color w:val="2563EB"/>
          <w:sz w:val="18"/>
        </w:rPr>
        <w:t>PROPOSED FIRST VERSION</w:t>
      </w:r>
    </w:p>
    <w:p>
      <w:pPr>
        <w:pStyle w:val="Title"/>
        <w:spacing w:after="180"/>
      </w:pPr>
      <w:r>
        <w:rPr>
          <w:rFonts w:ascii="Aptos" w:hAnsi="Aptos"/>
          <w:b/>
          <w:color w:val="000000"/>
          <w:sz w:val="58"/>
        </w:rPr>
        <w:t>Start with one tool-specific learning unit</w:t>
      </w:r>
    </w:p>
    <w:p>
      <w:pPr>
        <w:spacing w:before="0" w:after="360" w:line="276" w:lineRule="auto"/>
      </w:pPr>
      <w:r>
        <w:rPr>
          <w:rFonts w:ascii="Aptos" w:hAnsi="Aptos"/>
          <w:b w:val="0"/>
          <w:color w:val="3F5E79"/>
          <w:sz w:val="28"/>
        </w:rPr>
        <w:t>Test the smallest complete experience before adding a large library of tools or complex task validation.</w:t>
      </w:r>
    </w:p>
    <w:p>
      <w:pPr>
        <w:spacing w:before="140" w:after="360"/>
        <w:jc w:val="center"/>
      </w:pPr>
      <w:r>
        <w:rPr>
          <w:rFonts w:ascii="Aptos" w:hAnsi="Aptos"/>
          <w:b/>
          <w:color w:val="15324B"/>
          <w:sz w:val="24"/>
        </w:rPr>
        <w:t>5-10 min explanation</w:t>
      </w:r>
      <w:r>
        <w:rPr>
          <w:rFonts w:ascii="Aptos" w:hAnsi="Aptos"/>
          <w:b/>
          <w:color w:val="2563EB"/>
          <w:sz w:val="24"/>
        </w:rPr>
        <w:t xml:space="preserve">  -&gt;  </w:t>
      </w:r>
      <w:r>
        <w:rPr>
          <w:rFonts w:ascii="Aptos" w:hAnsi="Aptos"/>
          <w:b/>
          <w:color w:val="15324B"/>
          <w:sz w:val="24"/>
        </w:rPr>
        <w:t>Interactive quiz</w:t>
      </w:r>
      <w:r>
        <w:rPr>
          <w:rFonts w:ascii="Aptos" w:hAnsi="Aptos"/>
          <w:b/>
          <w:color w:val="2563EB"/>
          <w:sz w:val="24"/>
        </w:rPr>
        <w:t xml:space="preserve">  -&gt;  </w:t>
      </w:r>
      <w:r>
        <w:rPr>
          <w:rFonts w:ascii="Aptos" w:hAnsi="Aptos"/>
          <w:b/>
          <w:color w:val="15324B"/>
          <w:sz w:val="24"/>
        </w:rPr>
        <w:t>Guided tool practice</w:t>
      </w:r>
      <w:r>
        <w:rPr>
          <w:rFonts w:ascii="Aptos" w:hAnsi="Aptos"/>
          <w:b/>
          <w:color w:val="2563EB"/>
          <w:sz w:val="24"/>
        </w:rPr>
        <w:t xml:space="preserve">  -&gt;  </w:t>
      </w:r>
      <w:r>
        <w:rPr>
          <w:rFonts w:ascii="Aptos" w:hAnsi="Aptos"/>
          <w:b/>
          <w:color w:val="15324B"/>
          <w:sz w:val="24"/>
        </w:rPr>
        <w:t>One practical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56"/>
        <w:gridCol w:w="7056"/>
      </w:tblGrid>
      <w:tr>
        <w:tc>
          <w:tcPr>
            <w:tcW w:type="dxa" w:w="5760"/>
            <w:vAlign w:val="top"/>
            <w:tcMar>
              <w:top w:w="80" w:type="dxa"/>
              <w:start w:w="110" w:type="dxa"/>
              <w:bottom w:w="120" w:type="dxa"/>
              <w:end w:w="11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5324B"/>
                <w:sz w:val="24"/>
              </w:rPr>
              <w:t>Test first</w:t>
            </w:r>
          </w:p>
          <w:p>
            <w:pPr>
              <w:spacing w:after="240" w:line="264" w:lineRule="auto"/>
            </w:pPr>
            <w:r>
              <w:rPr>
                <w:rFonts w:ascii="Aptos" w:hAnsi="Aptos"/>
                <w:b w:val="0"/>
                <w:color w:val="3F5E79"/>
                <w:sz w:val="21"/>
              </w:rPr>
              <w:t>Use one tool and one learner outcome. See whether learners can follow the content, stay engaged and complete the practical check.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120" w:type="dxa"/>
              <w:end w:w="110" w:type="dxa"/>
            </w:tcMar>
          </w:tcPr>
          <w:p>
            <w:pPr>
              <w:spacing w:after="100"/>
            </w:pPr>
            <w:r>
              <w:rPr>
                <w:rFonts w:ascii="Aptos" w:hAnsi="Aptos"/>
                <w:b/>
                <w:color w:val="15324B"/>
                <w:sz w:val="24"/>
              </w:rPr>
              <w:t>Decide later</w:t>
            </w:r>
          </w:p>
          <w:p>
            <w:pPr>
              <w:spacing w:after="240" w:line="264" w:lineRule="auto"/>
            </w:pPr>
            <w:r>
              <w:rPr>
                <w:rFonts w:ascii="Aptos" w:hAnsi="Aptos"/>
                <w:b w:val="0"/>
                <w:color w:val="3F5E79"/>
                <w:sz w:val="21"/>
              </w:rPr>
              <w:t>If learners need more proof of ability, add stronger task validation only where the value is clear. Do not build every tool environment before the learning flow is validated.</w:t>
            </w:r>
          </w:p>
        </w:tc>
      </w:tr>
    </w:tbl>
    <w:p>
      <w:pPr>
        <w:spacing w:before="340" w:after="0" w:line="276" w:lineRule="auto"/>
      </w:pPr>
      <w:r>
        <w:rPr>
          <w:rFonts w:ascii="Aptos" w:hAnsi="Aptos"/>
          <w:b w:val="0"/>
          <w:color w:val="2563EB"/>
          <w:sz w:val="20"/>
        </w:rPr>
        <w:t>Research link: https://app.notion.com/p/3e9a83de42f781b2a3f9f008edf2b157?pvs=204</w:t>
      </w:r>
    </w:p>
    <w:sectPr w:rsidR="00FC693F" w:rsidRPr="0006063C" w:rsidSect="00034616"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