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Light" w:hAnsi="Calibri Light"/>
          <w:b/>
          <w:i w:val="0"/>
          <w:color w:val="1B3A6B"/>
          <w:sz w:val="52"/>
        </w:rPr>
        <w:t>FIPSAR Intelligence</w:t>
      </w:r>
    </w:p>
    <w:p>
      <w:pPr>
        <w:spacing w:after="40"/>
        <w:jc w:val="center"/>
      </w:pPr>
      <w:r>
        <w:rPr>
          <w:rFonts w:ascii="Calibri" w:hAnsi="Calibri"/>
          <w:b w:val="0"/>
          <w:i w:val="0"/>
          <w:color w:val="007A7A"/>
          <w:sz w:val="26"/>
        </w:rPr>
        <w:t>Demo Q&amp;A — Business Insights, Expected Outputs &amp; Validation SQL</w:t>
      </w:r>
    </w:p>
    <w:p>
      <w:pPr>
        <w:spacing w:after="320"/>
        <w:jc w:val="center"/>
        <w:pBdr>
          <w:bottom w:val="single" w:sz="12" w:space="1" w:color="1B3A6B"/>
        </w:pBdr>
      </w:pPr>
      <w:r>
        <w:rPr>
          <w:rFonts w:ascii="Calibri" w:hAnsi="Calibri"/>
          <w:b w:val="0"/>
          <w:i/>
          <w:color w:val="606060"/>
          <w:sz w:val="20"/>
        </w:rPr>
        <w:t>QA Environment  |  Q1 2026  |  10 Representative Questions</w:t>
      </w:r>
    </w:p>
    <w:p/>
    <w:p>
      <w:pPr>
        <w:spacing w:before="360" w:after="80"/>
        <w:pBdr>
          <w:bottom w:val="single" w:sz="8" w:space="1" w:color="1B3A6B"/>
        </w:pBdr>
      </w:pPr>
      <w:r>
        <w:rPr>
          <w:rFonts w:ascii="Calibri Light" w:hAnsi="Calibri Light"/>
          <w:b/>
          <w:i w:val="0"/>
          <w:color w:val="1B3A6B"/>
          <w:sz w:val="34"/>
        </w:rPr>
        <w:t>Overview</w:t>
      </w:r>
    </w:p>
    <w:p>
      <w:pPr>
        <w:spacing w:before="20" w:after="60"/>
      </w:pPr>
      <w:r>
        <w:rPr>
          <w:rFonts w:ascii="Calibri" w:hAnsi="Calibri"/>
          <w:b w:val="0"/>
          <w:i w:val="0"/>
          <w:color w:val="2D2D2D"/>
          <w:sz w:val="21"/>
        </w:rPr>
        <w:t>This document presents 10 representative business questions that demonstrate the analytical depth of the FIPSAR Intelligence platform. Each question includes:</w:t>
      </w:r>
    </w:p>
    <w:p>
      <w:pPr>
        <w:pStyle w:val="ListBullet"/>
        <w:spacing w:before="20" w:after="20"/>
      </w:pPr>
      <w:r>
        <w:rPr>
          <w:rFonts w:ascii="Calibri" w:hAnsi="Calibri"/>
          <w:b w:val="0"/>
          <w:i w:val="0"/>
          <w:color w:val="2D2D2D"/>
          <w:sz w:val="21"/>
        </w:rPr>
        <w:t>The business question as a user would ask it in the chatbot</w:t>
      </w:r>
    </w:p>
    <w:p>
      <w:pPr>
        <w:pStyle w:val="ListBullet"/>
        <w:spacing w:before="20" w:after="20"/>
      </w:pPr>
      <w:r>
        <w:rPr>
          <w:rFonts w:ascii="Calibri" w:hAnsi="Calibri"/>
          <w:b w:val="0"/>
          <w:i w:val="0"/>
          <w:color w:val="2D2D2D"/>
          <w:sz w:val="21"/>
        </w:rPr>
        <w:t>A business insight summary explaining what the data tells us</w:t>
      </w:r>
    </w:p>
    <w:p>
      <w:pPr>
        <w:pStyle w:val="ListBullet"/>
        <w:spacing w:before="20" w:after="20"/>
      </w:pPr>
      <w:r>
        <w:rPr>
          <w:rFonts w:ascii="Calibri" w:hAnsi="Calibri"/>
          <w:b w:val="0"/>
          <w:i w:val="0"/>
          <w:color w:val="2D2D2D"/>
          <w:sz w:val="21"/>
        </w:rPr>
        <w:t>An expected output table showing approximate results</w:t>
      </w:r>
    </w:p>
    <w:p>
      <w:pPr>
        <w:pStyle w:val="ListBullet"/>
        <w:spacing w:before="20" w:after="20"/>
      </w:pPr>
      <w:r>
        <w:rPr>
          <w:rFonts w:ascii="Calibri" w:hAnsi="Calibri"/>
          <w:b w:val="0"/>
          <w:i w:val="0"/>
          <w:color w:val="2D2D2D"/>
          <w:sz w:val="21"/>
        </w:rPr>
        <w:t>Validation SQL that can be run directly in Snowflake SnowSight (QA environment)</w:t>
      </w:r>
    </w:p>
    <w:p>
      <w:pPr>
        <w:pStyle w:val="ListBullet"/>
        <w:spacing w:before="20" w:after="20"/>
      </w:pPr>
      <w:r>
        <w:rPr>
          <w:rFonts w:ascii="Calibri" w:hAnsi="Calibri"/>
          <w:b w:val="0"/>
          <w:i w:val="0"/>
          <w:color w:val="2D2D2D"/>
          <w:sz w:val="21"/>
        </w:rPr>
        <w:t>A key insight callout highlighting the actionable takeaway</w:t>
      </w:r>
    </w:p>
    <w:p/>
    <w:p>
      <w:pPr>
        <w:spacing w:before="40" w:after="40"/>
      </w:pPr>
      <w:r>
        <w:rPr>
          <w:rFonts w:ascii="Calibri" w:hAnsi="Calibri"/>
          <w:b/>
          <w:i w:val="0"/>
          <w:color w:val="606060"/>
          <w:sz w:val="21"/>
        </w:rPr>
        <w:t xml:space="preserve">Database Environment:  </w:t>
      </w:r>
      <w:r>
        <w:rPr>
          <w:rFonts w:ascii="Calibri" w:hAnsi="Calibri"/>
          <w:b w:val="0"/>
          <w:i w:val="0"/>
          <w:color w:val="2D2D2D"/>
          <w:sz w:val="21"/>
        </w:rPr>
        <w:t>QA_FIPSAR_PHI_HUB, QA_FIPSAR_DW, QA_FIPSAR_AUDIT, QA_FIPSAR_SFMC_EVENTS</w:t>
      </w:r>
    </w:p>
    <w:p>
      <w:pPr>
        <w:spacing w:before="40" w:after="40"/>
      </w:pPr>
      <w:r>
        <w:rPr>
          <w:rFonts w:ascii="Calibri" w:hAnsi="Calibri"/>
          <w:b/>
          <w:i w:val="0"/>
          <w:color w:val="606060"/>
          <w:sz w:val="21"/>
        </w:rPr>
        <w:t xml:space="preserve">Data Period:  </w:t>
      </w:r>
      <w:r>
        <w:rPr>
          <w:rFonts w:ascii="Calibri" w:hAnsi="Calibri"/>
          <w:b w:val="0"/>
          <w:i w:val="0"/>
          <w:color w:val="2D2D2D"/>
          <w:sz w:val="21"/>
        </w:rPr>
        <w:t>January 1, 2026 – April 1, 2026 (Q1 2026)</w:t>
      </w:r>
    </w:p>
    <w:p>
      <w:pPr>
        <w:spacing w:before="40" w:after="40"/>
      </w:pPr>
      <w:r>
        <w:rPr>
          <w:rFonts w:ascii="Calibri" w:hAnsi="Calibri"/>
          <w:b/>
          <w:i w:val="0"/>
          <w:color w:val="606060"/>
          <w:sz w:val="21"/>
        </w:rPr>
        <w:t xml:space="preserve">Total Raw Leads:  </w:t>
      </w:r>
      <w:r>
        <w:rPr>
          <w:rFonts w:ascii="Calibri" w:hAnsi="Calibri"/>
          <w:b w:val="0"/>
          <w:i w:val="0"/>
          <w:color w:val="2D2D2D"/>
          <w:sz w:val="21"/>
        </w:rPr>
        <w:t>800 records</w:t>
      </w:r>
    </w:p>
    <w:p>
      <w:pPr>
        <w:spacing w:before="40" w:after="40"/>
      </w:pPr>
      <w:r>
        <w:rPr>
          <w:rFonts w:ascii="Calibri" w:hAnsi="Calibri"/>
          <w:b/>
          <w:i w:val="0"/>
          <w:color w:val="606060"/>
          <w:sz w:val="21"/>
        </w:rPr>
        <w:t xml:space="preserve">Total Valid Prospects:  </w:t>
      </w:r>
      <w:r>
        <w:rPr>
          <w:rFonts w:ascii="Calibri" w:hAnsi="Calibri"/>
          <w:b w:val="0"/>
          <w:i w:val="0"/>
          <w:color w:val="2D2D2D"/>
          <w:sz w:val="21"/>
        </w:rPr>
        <w:t>758 Gold-layer records</w:t>
      </w:r>
    </w:p>
    <w:p>
      <w:pPr>
        <w:spacing w:before="40" w:after="40"/>
      </w:pPr>
      <w:r>
        <w:rPr>
          <w:rFonts w:ascii="Calibri" w:hAnsi="Calibri"/>
          <w:b/>
          <w:i w:val="0"/>
          <w:color w:val="606060"/>
          <w:sz w:val="21"/>
        </w:rPr>
        <w:t xml:space="preserve">SFMC Events:  </w:t>
      </w:r>
      <w:r>
        <w:rPr>
          <w:rFonts w:ascii="Calibri" w:hAnsi="Calibri"/>
          <w:b w:val="0"/>
          <w:i w:val="0"/>
          <w:color w:val="2D2D2D"/>
          <w:sz w:val="21"/>
        </w:rPr>
        <w:t>~10,627 engagement events (SENT, OPEN, CLICK, BOUNCE, UNSUBSCRIBE, SPAM)</w:t>
      </w:r>
    </w:p>
    <w:p/>
    <w:p>
      <w:pPr>
        <w:spacing w:before="80" w:after="80"/>
        <w:pBdr>
          <w:bottom w:val="single" w:sz="4" w:space="1" w:color="DDDDDD"/>
        </w:pBdr>
      </w:pPr>
    </w:p>
    <w:p/>
    <w:p>
      <w:pPr>
        <w:spacing w:before="120" w:after="80"/>
      </w:pPr>
      <w:r>
        <w:rPr>
          <w:rFonts w:ascii="Calibri" w:hAnsi="Calibri"/>
          <w:b/>
          <w:i w:val="0"/>
          <w:color w:val="D4A017"/>
          <w:sz w:val="32"/>
        </w:rPr>
        <w:t xml:space="preserve">Q1  </w:t>
      </w:r>
      <w:r>
        <w:rPr>
          <w:rFonts w:ascii="Calibri" w:hAnsi="Calibri"/>
          <w:b/>
          <w:i w:val="0"/>
          <w:color w:val="1B3A6B"/>
          <w:sz w:val="26"/>
        </w:rPr>
        <w:t>Give me a full pipeline funnel summary — how many leads came in and how many became valid prospects?</w:t>
      </w:r>
    </w:p>
    <w:p>
      <w:pPr>
        <w:spacing w:after="120"/>
      </w:pPr>
      <w:r>
        <w:rPr>
          <w:rFonts w:ascii="Calibri" w:hAnsi="Calibri"/>
          <w:b/>
          <w:i w:val="0"/>
          <w:color w:val="606060"/>
          <w:sz w:val="19"/>
        </w:rPr>
        <w:t xml:space="preserve">  Category: </w:t>
      </w:r>
      <w:r>
        <w:rPr>
          <w:rFonts w:ascii="Calibri" w:hAnsi="Calibri"/>
          <w:b w:val="0"/>
          <w:i w:val="0"/>
          <w:color w:val="007A7A"/>
          <w:sz w:val="19"/>
        </w:rPr>
        <w:t>Funnel Overview</w:t>
      </w:r>
    </w:p>
    <w:p>
      <w:pPr>
        <w:spacing w:before="200" w:after="40"/>
      </w:pPr>
      <w:r>
        <w:rPr>
          <w:rFonts w:ascii="Calibri" w:hAnsi="Calibri"/>
          <w:b/>
          <w:i w:val="0"/>
          <w:color w:val="007A7A"/>
          <w:sz w:val="24"/>
        </w:rPr>
        <w:t>Business Insight</w:t>
      </w:r>
    </w:p>
    <w:p>
      <w:pPr>
        <w:spacing w:before="20" w:after="60"/>
      </w:pPr>
      <w:r>
        <w:rPr>
          <w:rFonts w:ascii="Calibri" w:hAnsi="Calibri"/>
          <w:b w:val="0"/>
          <w:i w:val="0"/>
          <w:color w:val="2D2D2D"/>
          <w:sz w:val="21"/>
        </w:rPr>
        <w:t>Of the 800 raw leads ingested in Q1 2026, 758 became validated Gold-layer prospects (94.75% end-to-end conversion). Two rejection stages shrink the pool: 37 records failed the PHI mastering quality gate (null emails, null phones, no-consent violations) and 5 duplicate record IDs were suppressed in the Silver layer. The 94.75% conversion rate is strong and indicates a healthy intake pipeline.</w:t>
      </w:r>
    </w:p>
    <w:p>
      <w:pPr>
        <w:spacing w:before="200" w:after="40"/>
      </w:pPr>
      <w:r>
        <w:rPr>
          <w:rFonts w:ascii="Calibri" w:hAnsi="Calibri"/>
          <w:b/>
          <w:i w:val="0"/>
          <w:color w:val="007A7A"/>
          <w:sz w:val="24"/>
        </w:rPr>
        <w:t>Expected Output (Approximate)</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Stage</w:t>
            </w:r>
          </w:p>
        </w:tc>
        <w:tc>
          <w:tcPr>
            <w:tcW w:type="dxa" w:w="2436"/>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Table</w:t>
            </w:r>
          </w:p>
        </w:tc>
        <w:tc>
          <w:tcPr>
            <w:tcW w:type="dxa" w:w="2436"/>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Record Count</w:t>
            </w:r>
          </w:p>
        </w:tc>
        <w:tc>
          <w:tcPr>
            <w:tcW w:type="dxa" w:w="2436"/>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Drop-Off</w:t>
            </w:r>
          </w:p>
        </w:tc>
      </w:tr>
      <w:tr>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Raw Intake</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STG_PROSPECT_INTAKE</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800</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w:t>
            </w:r>
          </w:p>
        </w:tc>
      </w:tr>
      <w:tr>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PHI Mastered</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PHI_PROSPECT_MASTER</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763</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−37 (DQ failures)</w:t>
            </w:r>
          </w:p>
        </w:tc>
      </w:tr>
      <w:tr>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Silver</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SLV_PROSPECT_MASTER</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758</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−5 (duplicates)</w:t>
            </w:r>
          </w:p>
        </w:tc>
      </w:tr>
      <w:tr>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Gold Dim</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DIM_PROSPECT</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758</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w:t>
            </w:r>
          </w:p>
        </w:tc>
      </w:tr>
      <w:tr>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Gold Fact</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FACT_PROSPECT_INTAKE</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758</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w:t>
            </w:r>
          </w:p>
        </w:tc>
      </w:tr>
    </w:tbl>
    <w:p/>
    <w:p>
      <w:pPr>
        <w:spacing w:before="200" w:after="40"/>
      </w:pPr>
      <w:r>
        <w:rPr>
          <w:rFonts w:ascii="Calibri" w:hAnsi="Calibri"/>
          <w:b/>
          <w:i w:val="0"/>
          <w:color w:val="007A7A"/>
          <w:sz w:val="24"/>
        </w:rPr>
        <w:t>Validation SQL</w:t>
      </w:r>
    </w:p>
    <w:tbl>
      <w:tblPr>
        <w:tblW w:type="auto" w:w="0"/>
        <w:jc w:val="left"/>
        <w:tblLook w:firstColumn="1" w:firstRow="1" w:lastColumn="0" w:lastRow="0" w:noHBand="0" w:noVBand="1" w:val="04A0"/>
      </w:tblPr>
      <w:tblGrid>
        <w:gridCol w:w="9746"/>
      </w:tblGrid>
      <w:tr>
        <w:tc>
          <w:tcPr>
            <w:tcW w:type="dxa" w:w="9360"/>
            <w:shd w:val="clear" w:color="auto" w:fill="F4F4F4"/>
            <w:tcBorders>
              <w:top w:val="single" w:sz="4" w:space="0" w:color="BBBBBB"/>
              <w:bottom w:val="single" w:sz="4" w:space="0" w:color="BBBBBB"/>
              <w:left w:val="single" w:sz="4" w:space="0" w:color="BBBBBB"/>
              <w:right w:val="single" w:sz="4" w:space="0" w:color="BBBBBB"/>
            </w:tcBorders>
          </w:tcPr>
          <w:p>
            <w:pPr>
              <w:spacing w:before="80" w:after="80"/>
              <w:ind w:left="144"/>
            </w:pPr>
            <w:r>
              <w:rPr>
                <w:rFonts w:ascii="Courier New" w:hAnsi="Courier New"/>
                <w:color w:val="1A1A5E"/>
                <w:sz w:val="17"/>
              </w:rPr>
              <w:t>-- Full pipeline funnel count validation</w:t>
              <w:br/>
              <w:t>SELECT 'STG_PROSPECT_INTAKE'  AS stage, COUNT(*) AS cnt FROM QA_FIPSAR_PHI_HUB.STAGING.STG_PROSPECT_INTAKE</w:t>
              <w:br/>
              <w:t>UNION ALL</w:t>
              <w:br/>
              <w:t>SELECT 'PHI_PROSPECT_MASTER', COUNT(*) FROM QA_FIPSAR_PHI_HUB.PHI_CORE.PHI_PROSPECT_MASTER</w:t>
              <w:br/>
              <w:t>UNION ALL</w:t>
              <w:br/>
              <w:t>SELECT 'SLV_PROSPECT_MASTER', COUNT(*) FROM QA_FIPSAR_DW.SILVER.SLV_PROSPECT_MASTER</w:t>
              <w:br/>
              <w:t>UNION ALL</w:t>
              <w:br/>
              <w:t>SELECT 'DIM_PROSPECT',        COUNT(*) FROM QA_FIPSAR_DW.GOLD.DIM_PROSPECT</w:t>
              <w:br/>
              <w:t>UNION ALL</w:t>
              <w:br/>
              <w:t>SELECT 'FACT_PROSPECT_INTAKE',COUNT(*) FROM QA_FIPSAR_DW.GOLD.FACT_PROSPECT_INTAKE</w:t>
              <w:br/>
              <w:t>ORDER BY cnt DESC;</w:t>
            </w:r>
          </w:p>
        </w:tc>
      </w:tr>
    </w:tbl>
    <w:p/>
    <w:tbl>
      <w:tblPr>
        <w:tblW w:type="auto" w:w="0"/>
        <w:jc w:val="left"/>
        <w:tblLook w:firstColumn="1" w:firstRow="1" w:lastColumn="0" w:lastRow="0" w:noHBand="0" w:noVBand="1" w:val="04A0"/>
      </w:tblPr>
      <w:tblGrid>
        <w:gridCol w:w="4873"/>
        <w:gridCol w:w="4873"/>
      </w:tblGrid>
      <w:tr>
        <w:tc>
          <w:tcPr>
            <w:tcW w:type="dxa" w:w="115"/>
            <w:shd w:val="clear" w:color="auto" w:fill="007A7A"/>
          </w:tcPr>
          <w:p/>
        </w:tc>
        <w:tc>
          <w:tcPr>
            <w:tcW w:type="dxa" w:w="4873"/>
            <w:shd w:val="clear" w:color="auto" w:fill="E6F4EA"/>
            <w:tcBorders>
              <w:top w:val="single" w:sz="4" w:space="0" w:color="007A7A"/>
              <w:bottom w:val="single" w:sz="4" w:space="0" w:color="007A7A"/>
              <w:left w:val="single" w:sz="4" w:space="0" w:color="007A7A"/>
              <w:right w:val="single" w:sz="4" w:space="0" w:color="007A7A"/>
            </w:tcBorders>
          </w:tcPr>
          <w:p>
            <w:pPr>
              <w:spacing w:before="80" w:after="80"/>
              <w:ind w:left="144"/>
            </w:pPr>
            <w:r>
              <w:rPr>
                <w:rFonts w:ascii="Calibri" w:hAnsi="Calibri"/>
                <w:color w:val="1B5E20"/>
                <w:sz w:val="20"/>
              </w:rPr>
              <w:t>💡 5 records flagged as DUPLICATE_RECORD_ID in Silver were originally seeded as test fixtures (FIP0000000001–005). They are correctly suppressed and their rejection is logged in QA_FIPSAR_AUDIT.PIPELINE_AUDIT.DQ_REJECTION_LOG.</w:t>
            </w:r>
          </w:p>
        </w:tc>
      </w:tr>
    </w:tbl>
    <w:p/>
    <w:p/>
    <w:p>
      <w:pPr>
        <w:spacing w:before="80" w:after="80"/>
        <w:pBdr>
          <w:bottom w:val="single" w:sz="4" w:space="1" w:color="DDDDDD"/>
        </w:pBdr>
      </w:pPr>
    </w:p>
    <w:p/>
    <w:p>
      <w:pPr>
        <w:spacing w:before="120" w:after="80"/>
      </w:pPr>
      <w:r>
        <w:rPr>
          <w:rFonts w:ascii="Calibri" w:hAnsi="Calibri"/>
          <w:b/>
          <w:i w:val="0"/>
          <w:color w:val="D4A017"/>
          <w:sz w:val="32"/>
        </w:rPr>
        <w:t xml:space="preserve">Q2  </w:t>
      </w:r>
      <w:r>
        <w:rPr>
          <w:rFonts w:ascii="Calibri" w:hAnsi="Calibri"/>
          <w:b/>
          <w:i w:val="0"/>
          <w:color w:val="1B3A6B"/>
          <w:sz w:val="26"/>
        </w:rPr>
        <w:t>What are the most common rejection reasons and how many records were affected at each stage?</w:t>
      </w:r>
    </w:p>
    <w:p>
      <w:pPr>
        <w:spacing w:after="120"/>
      </w:pPr>
      <w:r>
        <w:rPr>
          <w:rFonts w:ascii="Calibri" w:hAnsi="Calibri"/>
          <w:b/>
          <w:i w:val="0"/>
          <w:color w:val="606060"/>
          <w:sz w:val="19"/>
        </w:rPr>
        <w:t xml:space="preserve">  Category: </w:t>
      </w:r>
      <w:r>
        <w:rPr>
          <w:rFonts w:ascii="Calibri" w:hAnsi="Calibri"/>
          <w:b w:val="0"/>
          <w:i w:val="0"/>
          <w:color w:val="007A7A"/>
          <w:sz w:val="19"/>
        </w:rPr>
        <w:t>Data Quality &amp; Rejections</w:t>
      </w:r>
    </w:p>
    <w:p>
      <w:pPr>
        <w:spacing w:before="200" w:after="40"/>
      </w:pPr>
      <w:r>
        <w:rPr>
          <w:rFonts w:ascii="Calibri" w:hAnsi="Calibri"/>
          <w:b/>
          <w:i w:val="0"/>
          <w:color w:val="007A7A"/>
          <w:sz w:val="24"/>
        </w:rPr>
        <w:t>Business Insight</w:t>
      </w:r>
    </w:p>
    <w:p>
      <w:pPr>
        <w:spacing w:before="20" w:after="60"/>
      </w:pPr>
      <w:r>
        <w:rPr>
          <w:rFonts w:ascii="Calibri" w:hAnsi="Calibri"/>
          <w:b w:val="0"/>
          <w:i w:val="0"/>
          <w:color w:val="2D2D2D"/>
          <w:sz w:val="21"/>
        </w:rPr>
        <w:t>The pipeline rejected 42 records total across two stages. NULL_EMAIL (31 records) is the dominant failure at the PHI gate — indicating that a significant portion of form submissions or data imports are missing email addresses. This is an actionable issue: strengthening form validation at the point of capture would directly improve prospect yield.</w:t>
      </w:r>
    </w:p>
    <w:p>
      <w:pPr>
        <w:spacing w:before="200" w:after="40"/>
      </w:pPr>
      <w:r>
        <w:rPr>
          <w:rFonts w:ascii="Calibri" w:hAnsi="Calibri"/>
          <w:b/>
          <w:i w:val="0"/>
          <w:color w:val="007A7A"/>
          <w:sz w:val="24"/>
        </w:rPr>
        <w:t>Expected Output (Approximate)</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Rejection Stage</w:t>
            </w:r>
          </w:p>
        </w:tc>
        <w:tc>
          <w:tcPr>
            <w:tcW w:type="dxa" w:w="3249"/>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Reason</w:t>
            </w:r>
          </w:p>
        </w:tc>
        <w:tc>
          <w:tcPr>
            <w:tcW w:type="dxa" w:w="3249"/>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Count</w:t>
            </w:r>
          </w:p>
        </w:tc>
      </w:tr>
      <w:tr>
        <w:tc>
          <w:tcPr>
            <w:tcW w:type="dxa" w:w="32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PHI_LOAD</w:t>
            </w:r>
          </w:p>
        </w:tc>
        <w:tc>
          <w:tcPr>
            <w:tcW w:type="dxa" w:w="32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NULL_EMAIL</w:t>
            </w:r>
          </w:p>
        </w:tc>
        <w:tc>
          <w:tcPr>
            <w:tcW w:type="dxa" w:w="32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31</w:t>
            </w:r>
          </w:p>
        </w:tc>
      </w:tr>
      <w:tr>
        <w:tc>
          <w:tcPr>
            <w:tcW w:type="dxa" w:w="3249"/>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PHI_LOAD</w:t>
            </w:r>
          </w:p>
        </w:tc>
        <w:tc>
          <w:tcPr>
            <w:tcW w:type="dxa" w:w="3249"/>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NULL_PHONE_NUMBER</w:t>
            </w:r>
          </w:p>
        </w:tc>
        <w:tc>
          <w:tcPr>
            <w:tcW w:type="dxa" w:w="3249"/>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4</w:t>
            </w:r>
          </w:p>
        </w:tc>
      </w:tr>
      <w:tr>
        <w:tc>
          <w:tcPr>
            <w:tcW w:type="dxa" w:w="32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PHI_LOAD</w:t>
            </w:r>
          </w:p>
        </w:tc>
        <w:tc>
          <w:tcPr>
            <w:tcW w:type="dxa" w:w="32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NO_CONSENT</w:t>
            </w:r>
          </w:p>
        </w:tc>
        <w:tc>
          <w:tcPr>
            <w:tcW w:type="dxa" w:w="32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2</w:t>
            </w:r>
          </w:p>
        </w:tc>
      </w:tr>
      <w:tr>
        <w:tc>
          <w:tcPr>
            <w:tcW w:type="dxa" w:w="3249"/>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SILVER_LOAD</w:t>
            </w:r>
          </w:p>
        </w:tc>
        <w:tc>
          <w:tcPr>
            <w:tcW w:type="dxa" w:w="3249"/>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DUPLICATE_RECORD_ID</w:t>
            </w:r>
          </w:p>
        </w:tc>
        <w:tc>
          <w:tcPr>
            <w:tcW w:type="dxa" w:w="3249"/>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5</w:t>
            </w:r>
          </w:p>
        </w:tc>
      </w:tr>
      <w:tr>
        <w:tc>
          <w:tcPr>
            <w:tcW w:type="dxa" w:w="32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TOTAL</w:t>
            </w:r>
          </w:p>
        </w:tc>
        <w:tc>
          <w:tcPr>
            <w:tcW w:type="dxa" w:w="32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w:t>
            </w:r>
          </w:p>
        </w:tc>
        <w:tc>
          <w:tcPr>
            <w:tcW w:type="dxa" w:w="32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42</w:t>
            </w:r>
          </w:p>
        </w:tc>
      </w:tr>
    </w:tbl>
    <w:p/>
    <w:p>
      <w:pPr>
        <w:spacing w:before="200" w:after="40"/>
      </w:pPr>
      <w:r>
        <w:rPr>
          <w:rFonts w:ascii="Calibri" w:hAnsi="Calibri"/>
          <w:b/>
          <w:i w:val="0"/>
          <w:color w:val="007A7A"/>
          <w:sz w:val="24"/>
        </w:rPr>
        <w:t>Validation SQL</w:t>
      </w:r>
    </w:p>
    <w:tbl>
      <w:tblPr>
        <w:tblW w:type="auto" w:w="0"/>
        <w:jc w:val="left"/>
        <w:tblLook w:firstColumn="1" w:firstRow="1" w:lastColumn="0" w:lastRow="0" w:noHBand="0" w:noVBand="1" w:val="04A0"/>
      </w:tblPr>
      <w:tblGrid>
        <w:gridCol w:w="9746"/>
      </w:tblGrid>
      <w:tr>
        <w:tc>
          <w:tcPr>
            <w:tcW w:type="dxa" w:w="9360"/>
            <w:shd w:val="clear" w:color="auto" w:fill="F4F4F4"/>
            <w:tcBorders>
              <w:top w:val="single" w:sz="4" w:space="0" w:color="BBBBBB"/>
              <w:bottom w:val="single" w:sz="4" w:space="0" w:color="BBBBBB"/>
              <w:left w:val="single" w:sz="4" w:space="0" w:color="BBBBBB"/>
              <w:right w:val="single" w:sz="4" w:space="0" w:color="BBBBBB"/>
            </w:tcBorders>
          </w:tcPr>
          <w:p>
            <w:pPr>
              <w:spacing w:before="80" w:after="80"/>
              <w:ind w:left="144"/>
            </w:pPr>
            <w:r>
              <w:rPr>
                <w:rFonts w:ascii="Courier New" w:hAnsi="Courier New"/>
                <w:color w:val="1A1A5E"/>
                <w:sz w:val="17"/>
              </w:rPr>
              <w:t>-- Rejection breakdown by stage and reason</w:t>
              <w:br/>
              <w:t>SELECT</w:t>
              <w:br/>
              <w:t xml:space="preserve">    REJECTION_STAGE,</w:t>
              <w:br/>
              <w:t xml:space="preserve">    REJECTION_REASON,</w:t>
              <w:br/>
              <w:t xml:space="preserve">    COUNT(*) AS rejected_count</w:t>
              <w:br/>
              <w:t>FROM QA_FIPSAR_AUDIT.PIPELINE_AUDIT.DQ_REJECTION_LOG</w:t>
              <w:br/>
              <w:t>GROUP BY REJECTION_STAGE, REJECTION_REASON</w:t>
              <w:br/>
              <w:t>ORDER BY rejected_count DESC;</w:t>
            </w:r>
          </w:p>
        </w:tc>
      </w:tr>
    </w:tbl>
    <w:p/>
    <w:tbl>
      <w:tblPr>
        <w:tblW w:type="auto" w:w="0"/>
        <w:jc w:val="left"/>
        <w:tblLook w:firstColumn="1" w:firstRow="1" w:lastColumn="0" w:lastRow="0" w:noHBand="0" w:noVBand="1" w:val="04A0"/>
      </w:tblPr>
      <w:tblGrid>
        <w:gridCol w:w="4873"/>
        <w:gridCol w:w="4873"/>
      </w:tblGrid>
      <w:tr>
        <w:tc>
          <w:tcPr>
            <w:tcW w:type="dxa" w:w="115"/>
            <w:shd w:val="clear" w:color="auto" w:fill="007A7A"/>
          </w:tcPr>
          <w:p/>
        </w:tc>
        <w:tc>
          <w:tcPr>
            <w:tcW w:type="dxa" w:w="4873"/>
            <w:shd w:val="clear" w:color="auto" w:fill="E6F4EA"/>
            <w:tcBorders>
              <w:top w:val="single" w:sz="4" w:space="0" w:color="007A7A"/>
              <w:bottom w:val="single" w:sz="4" w:space="0" w:color="007A7A"/>
              <w:left w:val="single" w:sz="4" w:space="0" w:color="007A7A"/>
              <w:right w:val="single" w:sz="4" w:space="0" w:color="007A7A"/>
            </w:tcBorders>
          </w:tcPr>
          <w:p>
            <w:pPr>
              <w:spacing w:before="80" w:after="80"/>
              <w:ind w:left="144"/>
            </w:pPr>
            <w:r>
              <w:rPr>
                <w:rFonts w:ascii="Calibri" w:hAnsi="Calibri"/>
                <w:color w:val="1B5E20"/>
                <w:sz w:val="20"/>
              </w:rPr>
              <w:t>💡 The 2 NO_CONSENT rejections (Jackson Stewart, Michael Campbell) represent a HIPAA/privacy compliance gate. These records were correctly excluded from all downstream tables — verifiable by confirming FIP0000000037 and FIP0000000064 are absent from PHI_PROSPECT_MASTER.</w:t>
            </w:r>
          </w:p>
        </w:tc>
      </w:tr>
    </w:tbl>
    <w:p/>
    <w:p/>
    <w:p>
      <w:pPr>
        <w:spacing w:before="80" w:after="80"/>
        <w:pBdr>
          <w:bottom w:val="single" w:sz="4" w:space="1" w:color="DDDDDD"/>
        </w:pBdr>
      </w:pPr>
    </w:p>
    <w:p/>
    <w:p>
      <w:pPr>
        <w:spacing w:before="120" w:after="80"/>
      </w:pPr>
      <w:r>
        <w:rPr>
          <w:rFonts w:ascii="Calibri" w:hAnsi="Calibri"/>
          <w:b/>
          <w:i w:val="0"/>
          <w:color w:val="D4A017"/>
          <w:sz w:val="32"/>
        </w:rPr>
        <w:t xml:space="preserve">Q3  </w:t>
      </w:r>
      <w:r>
        <w:rPr>
          <w:rFonts w:ascii="Calibri" w:hAnsi="Calibri"/>
          <w:b/>
          <w:i w:val="0"/>
          <w:color w:val="1B3A6B"/>
          <w:sz w:val="26"/>
        </w:rPr>
        <w:t>Which marketing channels are driving the most prospect volume, and which have the lowest rejection rate?</w:t>
      </w:r>
    </w:p>
    <w:p>
      <w:pPr>
        <w:spacing w:after="120"/>
      </w:pPr>
      <w:r>
        <w:rPr>
          <w:rFonts w:ascii="Calibri" w:hAnsi="Calibri"/>
          <w:b/>
          <w:i w:val="0"/>
          <w:color w:val="606060"/>
          <w:sz w:val="19"/>
        </w:rPr>
        <w:t xml:space="preserve">  Category: </w:t>
      </w:r>
      <w:r>
        <w:rPr>
          <w:rFonts w:ascii="Calibri" w:hAnsi="Calibri"/>
          <w:b w:val="0"/>
          <w:i w:val="0"/>
          <w:color w:val="007A7A"/>
          <w:sz w:val="19"/>
        </w:rPr>
        <w:t>Channel Performance</w:t>
      </w:r>
    </w:p>
    <w:p>
      <w:pPr>
        <w:spacing w:before="200" w:after="40"/>
      </w:pPr>
      <w:r>
        <w:rPr>
          <w:rFonts w:ascii="Calibri" w:hAnsi="Calibri"/>
          <w:b/>
          <w:i w:val="0"/>
          <w:color w:val="007A7A"/>
          <w:sz w:val="24"/>
        </w:rPr>
        <w:t>Business Insight</w:t>
      </w:r>
    </w:p>
    <w:p>
      <w:pPr>
        <w:spacing w:before="20" w:after="60"/>
      </w:pPr>
      <w:r>
        <w:rPr>
          <w:rFonts w:ascii="Calibri" w:hAnsi="Calibri"/>
          <w:b w:val="0"/>
          <w:i w:val="0"/>
          <w:color w:val="2D2D2D"/>
          <w:sz w:val="21"/>
        </w:rPr>
        <w:t>Website and Facebook are the top two channels by raw lead volume. However, channel quality matters as much as volume — channels with higher NULL_EMAIL rates (often social scrapes) have lower net-to-gross ratios. Referral consistently delivers cleaner records because contact details are provided directly by the referrer.</w:t>
      </w:r>
    </w:p>
    <w:p>
      <w:pPr>
        <w:spacing w:before="200" w:after="40"/>
      </w:pPr>
      <w:r>
        <w:rPr>
          <w:rFonts w:ascii="Calibri" w:hAnsi="Calibri"/>
          <w:b/>
          <w:i w:val="0"/>
          <w:color w:val="007A7A"/>
          <w:sz w:val="24"/>
        </w:rPr>
        <w:t>Expected Output (Approximate)</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Channel</w:t>
            </w:r>
          </w:p>
        </w:tc>
        <w:tc>
          <w:tcPr>
            <w:tcW w:type="dxa" w:w="2436"/>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Raw Leads</w:t>
            </w:r>
          </w:p>
        </w:tc>
        <w:tc>
          <w:tcPr>
            <w:tcW w:type="dxa" w:w="2436"/>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Valid Prospects</w:t>
            </w:r>
          </w:p>
        </w:tc>
        <w:tc>
          <w:tcPr>
            <w:tcW w:type="dxa" w:w="2436"/>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Net-Gross %</w:t>
            </w:r>
          </w:p>
        </w:tc>
      </w:tr>
      <w:tr>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Website</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~175</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~167</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~95%</w:t>
            </w:r>
          </w:p>
        </w:tc>
      </w:tr>
      <w:tr>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Facebook</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~165</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~154</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~93%</w:t>
            </w:r>
          </w:p>
        </w:tc>
      </w:tr>
      <w:tr>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Instagram</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~140</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~134</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~96%</w:t>
            </w:r>
          </w:p>
        </w:tc>
      </w:tr>
      <w:tr>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Referral</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~120</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~117</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~98%</w:t>
            </w:r>
          </w:p>
        </w:tc>
      </w:tr>
      <w:tr>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Campaign App</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~115</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~107</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~93%</w:t>
            </w:r>
          </w:p>
        </w:tc>
      </w:tr>
      <w:tr>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Survey</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~85</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~79</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~93%</w:t>
            </w:r>
          </w:p>
        </w:tc>
      </w:tr>
    </w:tbl>
    <w:p/>
    <w:p>
      <w:pPr>
        <w:spacing w:before="200" w:after="40"/>
      </w:pPr>
      <w:r>
        <w:rPr>
          <w:rFonts w:ascii="Calibri" w:hAnsi="Calibri"/>
          <w:b/>
          <w:i w:val="0"/>
          <w:color w:val="007A7A"/>
          <w:sz w:val="24"/>
        </w:rPr>
        <w:t>Validation SQL</w:t>
      </w:r>
    </w:p>
    <w:tbl>
      <w:tblPr>
        <w:tblW w:type="auto" w:w="0"/>
        <w:jc w:val="left"/>
        <w:tblLook w:firstColumn="1" w:firstRow="1" w:lastColumn="0" w:lastRow="0" w:noHBand="0" w:noVBand="1" w:val="04A0"/>
      </w:tblPr>
      <w:tblGrid>
        <w:gridCol w:w="9746"/>
      </w:tblGrid>
      <w:tr>
        <w:tc>
          <w:tcPr>
            <w:tcW w:type="dxa" w:w="9360"/>
            <w:shd w:val="clear" w:color="auto" w:fill="F4F4F4"/>
            <w:tcBorders>
              <w:top w:val="single" w:sz="4" w:space="0" w:color="BBBBBB"/>
              <w:bottom w:val="single" w:sz="4" w:space="0" w:color="BBBBBB"/>
              <w:left w:val="single" w:sz="4" w:space="0" w:color="BBBBBB"/>
              <w:right w:val="single" w:sz="4" w:space="0" w:color="BBBBBB"/>
            </w:tcBorders>
          </w:tcPr>
          <w:p>
            <w:pPr>
              <w:spacing w:before="80" w:after="80"/>
              <w:ind w:left="144"/>
            </w:pPr>
            <w:r>
              <w:rPr>
                <w:rFonts w:ascii="Courier New" w:hAnsi="Courier New"/>
                <w:color w:val="1A1A5E"/>
                <w:sz w:val="17"/>
              </w:rPr>
              <w:t>-- Channel-level lead vs prospect volume</w:t>
              <w:br/>
              <w:t>SELECT</w:t>
              <w:br/>
              <w:t xml:space="preserve">    s.CHANNEL,</w:t>
              <w:br/>
              <w:t xml:space="preserve">    COUNT(DISTINCT s.RECORD_ID)                               AS raw_leads,</w:t>
              <w:br/>
              <w:t xml:space="preserve">    COUNT(DISTINCT f.RECORD_ID)                               AS valid_prospects,</w:t>
              <w:br/>
              <w:t xml:space="preserve">    ROUND(COUNT(DISTINCT f.RECORD_ID) * 100.0</w:t>
              <w:br/>
              <w:t xml:space="preserve">          / NULLIF(COUNT(DISTINCT s.RECORD_ID), 0), 1)        AS net_gross_pct</w:t>
              <w:br/>
              <w:t>FROM QA_FIPSAR_PHI_HUB.STAGING.STG_PROSPECT_INTAKE     s</w:t>
              <w:br/>
              <w:t>LEFT JOIN QA_FIPSAR_DW.GOLD.FACT_PROSPECT_INTAKE       f</w:t>
              <w:br/>
              <w:t xml:space="preserve">       ON s.RECORD_ID = f.RECORD_ID</w:t>
              <w:br/>
              <w:t>GROUP BY s.CHANNEL</w:t>
              <w:br/>
              <w:t>ORDER BY raw_leads DESC;</w:t>
            </w:r>
          </w:p>
        </w:tc>
      </w:tr>
    </w:tbl>
    <w:p/>
    <w:tbl>
      <w:tblPr>
        <w:tblW w:type="auto" w:w="0"/>
        <w:jc w:val="left"/>
        <w:tblLook w:firstColumn="1" w:firstRow="1" w:lastColumn="0" w:lastRow="0" w:noHBand="0" w:noVBand="1" w:val="04A0"/>
      </w:tblPr>
      <w:tblGrid>
        <w:gridCol w:w="4873"/>
        <w:gridCol w:w="4873"/>
      </w:tblGrid>
      <w:tr>
        <w:tc>
          <w:tcPr>
            <w:tcW w:type="dxa" w:w="115"/>
            <w:shd w:val="clear" w:color="auto" w:fill="007A7A"/>
          </w:tcPr>
          <w:p/>
        </w:tc>
        <w:tc>
          <w:tcPr>
            <w:tcW w:type="dxa" w:w="4873"/>
            <w:shd w:val="clear" w:color="auto" w:fill="E6F4EA"/>
            <w:tcBorders>
              <w:top w:val="single" w:sz="4" w:space="0" w:color="007A7A"/>
              <w:bottom w:val="single" w:sz="4" w:space="0" w:color="007A7A"/>
              <w:left w:val="single" w:sz="4" w:space="0" w:color="007A7A"/>
              <w:right w:val="single" w:sz="4" w:space="0" w:color="007A7A"/>
            </w:tcBorders>
          </w:tcPr>
          <w:p>
            <w:pPr>
              <w:spacing w:before="80" w:after="80"/>
              <w:ind w:left="144"/>
            </w:pPr>
            <w:r>
              <w:rPr>
                <w:rFonts w:ascii="Calibri" w:hAnsi="Calibri"/>
                <w:color w:val="1B5E20"/>
                <w:sz w:val="20"/>
              </w:rPr>
              <w:t>💡 Referral channel shows the highest net-gross conversion (~98%) because contact details are actively provided — making it the highest-quality acquisition source despite lower volume.</w:t>
            </w:r>
          </w:p>
        </w:tc>
      </w:tr>
    </w:tbl>
    <w:p/>
    <w:p/>
    <w:p>
      <w:pPr>
        <w:spacing w:before="80" w:after="80"/>
        <w:pBdr>
          <w:bottom w:val="single" w:sz="4" w:space="1" w:color="DDDDDD"/>
        </w:pBdr>
      </w:pPr>
    </w:p>
    <w:p/>
    <w:p>
      <w:pPr>
        <w:spacing w:before="120" w:after="80"/>
      </w:pPr>
      <w:r>
        <w:rPr>
          <w:rFonts w:ascii="Calibri" w:hAnsi="Calibri"/>
          <w:b/>
          <w:i w:val="0"/>
          <w:color w:val="D4A017"/>
          <w:sz w:val="32"/>
        </w:rPr>
        <w:t xml:space="preserve">Q4  </w:t>
      </w:r>
      <w:r>
        <w:rPr>
          <w:rFonts w:ascii="Calibri" w:hAnsi="Calibri"/>
          <w:b/>
          <w:i w:val="0"/>
          <w:color w:val="1B3A6B"/>
          <w:sz w:val="26"/>
        </w:rPr>
        <w:t>What is the overall SFMC email engagement — open rate, click-to-open rate, and unsubscribe rate?</w:t>
      </w:r>
    </w:p>
    <w:p>
      <w:pPr>
        <w:spacing w:after="120"/>
      </w:pPr>
      <w:r>
        <w:rPr>
          <w:rFonts w:ascii="Calibri" w:hAnsi="Calibri"/>
          <w:b/>
          <w:i w:val="0"/>
          <w:color w:val="606060"/>
          <w:sz w:val="19"/>
        </w:rPr>
        <w:t xml:space="preserve">  Category: </w:t>
      </w:r>
      <w:r>
        <w:rPr>
          <w:rFonts w:ascii="Calibri" w:hAnsi="Calibri"/>
          <w:b w:val="0"/>
          <w:i w:val="0"/>
          <w:color w:val="007A7A"/>
          <w:sz w:val="19"/>
        </w:rPr>
        <w:t>Email Engagement KPIs</w:t>
      </w:r>
    </w:p>
    <w:p>
      <w:pPr>
        <w:spacing w:before="200" w:after="40"/>
      </w:pPr>
      <w:r>
        <w:rPr>
          <w:rFonts w:ascii="Calibri" w:hAnsi="Calibri"/>
          <w:b/>
          <w:i w:val="0"/>
          <w:color w:val="007A7A"/>
          <w:sz w:val="24"/>
        </w:rPr>
        <w:t>Business Insight</w:t>
      </w:r>
    </w:p>
    <w:p>
      <w:pPr>
        <w:spacing w:before="20" w:after="60"/>
      </w:pPr>
      <w:r>
        <w:rPr>
          <w:rFonts w:ascii="Calibri" w:hAnsi="Calibri"/>
          <w:b w:val="0"/>
          <w:i w:val="0"/>
          <w:color w:val="2D2D2D"/>
          <w:sz w:val="21"/>
        </w:rPr>
        <w:t>Email engagement is very strong. With a 75.7% open rate against 4,286 sends and an 88.9% click-to-open rate, the campaign content is resonating well with the prospect audience. The unsubscribe rate should be monitored to ensure journey fatigue is not building up over the multi-stage nurture sequence.</w:t>
      </w:r>
    </w:p>
    <w:p>
      <w:pPr>
        <w:spacing w:before="200" w:after="40"/>
      </w:pPr>
      <w:r>
        <w:rPr>
          <w:rFonts w:ascii="Calibri" w:hAnsi="Calibri"/>
          <w:b/>
          <w:i w:val="0"/>
          <w:color w:val="007A7A"/>
          <w:sz w:val="24"/>
        </w:rPr>
        <w:t>Expected Output (Approximate)</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Metric</w:t>
            </w:r>
          </w:p>
        </w:tc>
        <w:tc>
          <w:tcPr>
            <w:tcW w:type="dxa" w:w="3249"/>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Value</w:t>
            </w:r>
          </w:p>
        </w:tc>
        <w:tc>
          <w:tcPr>
            <w:tcW w:type="dxa" w:w="3249"/>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Formula</w:t>
            </w:r>
          </w:p>
        </w:tc>
      </w:tr>
      <w:tr>
        <w:tc>
          <w:tcPr>
            <w:tcW w:type="dxa" w:w="32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Total Sent</w:t>
            </w:r>
          </w:p>
        </w:tc>
        <w:tc>
          <w:tcPr>
            <w:tcW w:type="dxa" w:w="32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4,286</w:t>
            </w:r>
          </w:p>
        </w:tc>
        <w:tc>
          <w:tcPr>
            <w:tcW w:type="dxa" w:w="32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COUNT(SENT events)</w:t>
            </w:r>
          </w:p>
        </w:tc>
      </w:tr>
      <w:tr>
        <w:tc>
          <w:tcPr>
            <w:tcW w:type="dxa" w:w="3249"/>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Total Opened</w:t>
            </w:r>
          </w:p>
        </w:tc>
        <w:tc>
          <w:tcPr>
            <w:tcW w:type="dxa" w:w="3249"/>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3,246</w:t>
            </w:r>
          </w:p>
        </w:tc>
        <w:tc>
          <w:tcPr>
            <w:tcW w:type="dxa" w:w="3249"/>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COUNT(OPEN events)</w:t>
            </w:r>
          </w:p>
        </w:tc>
      </w:tr>
      <w:tr>
        <w:tc>
          <w:tcPr>
            <w:tcW w:type="dxa" w:w="32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Total Clicked</w:t>
            </w:r>
          </w:p>
        </w:tc>
        <w:tc>
          <w:tcPr>
            <w:tcW w:type="dxa" w:w="32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2,885</w:t>
            </w:r>
          </w:p>
        </w:tc>
        <w:tc>
          <w:tcPr>
            <w:tcW w:type="dxa" w:w="32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COUNT(CLICK events)</w:t>
            </w:r>
          </w:p>
        </w:tc>
      </w:tr>
      <w:tr>
        <w:tc>
          <w:tcPr>
            <w:tcW w:type="dxa" w:w="3249"/>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Open Rate</w:t>
            </w:r>
          </w:p>
        </w:tc>
        <w:tc>
          <w:tcPr>
            <w:tcW w:type="dxa" w:w="3249"/>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75.7%</w:t>
            </w:r>
          </w:p>
        </w:tc>
        <w:tc>
          <w:tcPr>
            <w:tcW w:type="dxa" w:w="3249"/>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OPEN / SENT</w:t>
            </w:r>
          </w:p>
        </w:tc>
      </w:tr>
      <w:tr>
        <w:tc>
          <w:tcPr>
            <w:tcW w:type="dxa" w:w="32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Click-to-Open Rate</w:t>
            </w:r>
          </w:p>
        </w:tc>
        <w:tc>
          <w:tcPr>
            <w:tcW w:type="dxa" w:w="32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88.9%</w:t>
            </w:r>
          </w:p>
        </w:tc>
        <w:tc>
          <w:tcPr>
            <w:tcW w:type="dxa" w:w="32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CLICK / OPEN</w:t>
            </w:r>
          </w:p>
        </w:tc>
      </w:tr>
      <w:tr>
        <w:tc>
          <w:tcPr>
            <w:tcW w:type="dxa" w:w="3249"/>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Click Rate</w:t>
            </w:r>
          </w:p>
        </w:tc>
        <w:tc>
          <w:tcPr>
            <w:tcW w:type="dxa" w:w="3249"/>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67.3%</w:t>
            </w:r>
          </w:p>
        </w:tc>
        <w:tc>
          <w:tcPr>
            <w:tcW w:type="dxa" w:w="3249"/>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CLICK / SENT</w:t>
            </w:r>
          </w:p>
        </w:tc>
      </w:tr>
    </w:tbl>
    <w:p/>
    <w:p>
      <w:pPr>
        <w:spacing w:before="200" w:after="40"/>
      </w:pPr>
      <w:r>
        <w:rPr>
          <w:rFonts w:ascii="Calibri" w:hAnsi="Calibri"/>
          <w:b/>
          <w:i w:val="0"/>
          <w:color w:val="007A7A"/>
          <w:sz w:val="24"/>
        </w:rPr>
        <w:t>Validation SQL</w:t>
      </w:r>
    </w:p>
    <w:tbl>
      <w:tblPr>
        <w:tblW w:type="auto" w:w="0"/>
        <w:jc w:val="left"/>
        <w:tblLook w:firstColumn="1" w:firstRow="1" w:lastColumn="0" w:lastRow="0" w:noHBand="0" w:noVBand="1" w:val="04A0"/>
      </w:tblPr>
      <w:tblGrid>
        <w:gridCol w:w="9746"/>
      </w:tblGrid>
      <w:tr>
        <w:tc>
          <w:tcPr>
            <w:tcW w:type="dxa" w:w="9360"/>
            <w:shd w:val="clear" w:color="auto" w:fill="F4F4F4"/>
            <w:tcBorders>
              <w:top w:val="single" w:sz="4" w:space="0" w:color="BBBBBB"/>
              <w:bottom w:val="single" w:sz="4" w:space="0" w:color="BBBBBB"/>
              <w:left w:val="single" w:sz="4" w:space="0" w:color="BBBBBB"/>
              <w:right w:val="single" w:sz="4" w:space="0" w:color="BBBBBB"/>
            </w:tcBorders>
          </w:tcPr>
          <w:p>
            <w:pPr>
              <w:spacing w:before="80" w:after="80"/>
              <w:ind w:left="144"/>
            </w:pPr>
            <w:r>
              <w:rPr>
                <w:rFonts w:ascii="Courier New" w:hAnsi="Courier New"/>
                <w:color w:val="1A1A5E"/>
                <w:sz w:val="17"/>
              </w:rPr>
              <w:t>-- Overall SFMC email KPIs</w:t>
              <w:br/>
              <w:t>SELECT</w:t>
              <w:br/>
              <w:t xml:space="preserve">    COUNT_IF(EVENT_TYPE = 'SENT')   AS total_sent,</w:t>
              <w:br/>
              <w:t xml:space="preserve">    COUNT_IF(EVENT_TYPE = 'OPEN')   AS total_opened,</w:t>
              <w:br/>
              <w:t xml:space="preserve">    COUNT_IF(EVENT_TYPE = 'CLICK')  AS total_clicked,</w:t>
              <w:br/>
              <w:t xml:space="preserve">    ROUND(COUNT_IF(EVENT_TYPE='OPEN')  * 100.0</w:t>
              <w:br/>
              <w:t xml:space="preserve">          / NULLIF(COUNT_IF(EVENT_TYPE='SENT'),0), 1)  AS open_rate_pct,</w:t>
              <w:br/>
              <w:t xml:space="preserve">    ROUND(COUNT_IF(EVENT_TYPE='CLICK') * 100.0</w:t>
              <w:br/>
              <w:t xml:space="preserve">          / NULLIF(COUNT_IF(EVENT_TYPE='OPEN'),0), 1)  AS click_to_open_pct,</w:t>
              <w:br/>
              <w:t xml:space="preserve">    ROUND(COUNT_IF(EVENT_TYPE='CLICK') * 100.0</w:t>
              <w:br/>
              <w:t xml:space="preserve">          / NULLIF(COUNT_IF(EVENT_TYPE='SENT'),0), 1)  AS click_rate_pct</w:t>
              <w:br/>
              <w:t>FROM QA_FIPSAR_DW.GOLD.FACT_SFMC_ENGAGEMENT;</w:t>
            </w:r>
          </w:p>
        </w:tc>
      </w:tr>
    </w:tbl>
    <w:p/>
    <w:tbl>
      <w:tblPr>
        <w:tblW w:type="auto" w:w="0"/>
        <w:jc w:val="left"/>
        <w:tblLook w:firstColumn="1" w:firstRow="1" w:lastColumn="0" w:lastRow="0" w:noHBand="0" w:noVBand="1" w:val="04A0"/>
      </w:tblPr>
      <w:tblGrid>
        <w:gridCol w:w="4873"/>
        <w:gridCol w:w="4873"/>
      </w:tblGrid>
      <w:tr>
        <w:tc>
          <w:tcPr>
            <w:tcW w:type="dxa" w:w="115"/>
            <w:shd w:val="clear" w:color="auto" w:fill="007A7A"/>
          </w:tcPr>
          <w:p/>
        </w:tc>
        <w:tc>
          <w:tcPr>
            <w:tcW w:type="dxa" w:w="4873"/>
            <w:shd w:val="clear" w:color="auto" w:fill="E6F4EA"/>
            <w:tcBorders>
              <w:top w:val="single" w:sz="4" w:space="0" w:color="007A7A"/>
              <w:bottom w:val="single" w:sz="4" w:space="0" w:color="007A7A"/>
              <w:left w:val="single" w:sz="4" w:space="0" w:color="007A7A"/>
              <w:right w:val="single" w:sz="4" w:space="0" w:color="007A7A"/>
            </w:tcBorders>
          </w:tcPr>
          <w:p>
            <w:pPr>
              <w:spacing w:before="80" w:after="80"/>
              <w:ind w:left="144"/>
            </w:pPr>
            <w:r>
              <w:rPr>
                <w:rFonts w:ascii="Calibri" w:hAnsi="Calibri"/>
                <w:color w:val="1B5E20"/>
                <w:sz w:val="20"/>
              </w:rPr>
              <w:t>💡 An 88.9% click-to-open rate is industry-leading (benchmark: ~20–25%). This likely reflects the targeted, consent-based nature of the FIPSAR prospect list — highly qualified audience relative to typical broadcast campaigns.</w:t>
            </w:r>
          </w:p>
        </w:tc>
      </w:tr>
    </w:tbl>
    <w:p/>
    <w:p/>
    <w:p>
      <w:pPr>
        <w:spacing w:before="80" w:after="80"/>
        <w:pBdr>
          <w:bottom w:val="single" w:sz="4" w:space="1" w:color="DDDDDD"/>
        </w:pBdr>
      </w:pPr>
    </w:p>
    <w:p/>
    <w:p>
      <w:pPr>
        <w:spacing w:before="120" w:after="80"/>
      </w:pPr>
      <w:r>
        <w:rPr>
          <w:rFonts w:ascii="Calibri" w:hAnsi="Calibri"/>
          <w:b/>
          <w:i w:val="0"/>
          <w:color w:val="D4A017"/>
          <w:sz w:val="32"/>
        </w:rPr>
        <w:t xml:space="preserve">Q5  </w:t>
      </w:r>
      <w:r>
        <w:rPr>
          <w:rFonts w:ascii="Calibri" w:hAnsi="Calibri"/>
          <w:b/>
          <w:i w:val="0"/>
          <w:color w:val="1B3A6B"/>
          <w:sz w:val="26"/>
        </w:rPr>
        <w:t>Which SFMC journey is performing best? Compare open rates and click rates across all journeys.</w:t>
      </w:r>
    </w:p>
    <w:p>
      <w:pPr>
        <w:spacing w:after="120"/>
      </w:pPr>
      <w:r>
        <w:rPr>
          <w:rFonts w:ascii="Calibri" w:hAnsi="Calibri"/>
          <w:b/>
          <w:i w:val="0"/>
          <w:color w:val="606060"/>
          <w:sz w:val="19"/>
        </w:rPr>
        <w:t xml:space="preserve">  Category: </w:t>
      </w:r>
      <w:r>
        <w:rPr>
          <w:rFonts w:ascii="Calibri" w:hAnsi="Calibri"/>
          <w:b w:val="0"/>
          <w:i w:val="0"/>
          <w:color w:val="007A7A"/>
          <w:sz w:val="19"/>
        </w:rPr>
        <w:t>Journey Performance Comparison</w:t>
      </w:r>
    </w:p>
    <w:p>
      <w:pPr>
        <w:spacing w:before="200" w:after="40"/>
      </w:pPr>
      <w:r>
        <w:rPr>
          <w:rFonts w:ascii="Calibri" w:hAnsi="Calibri"/>
          <w:b/>
          <w:i w:val="0"/>
          <w:color w:val="007A7A"/>
          <w:sz w:val="24"/>
        </w:rPr>
        <w:t>Business Insight</w:t>
      </w:r>
    </w:p>
    <w:p>
      <w:pPr>
        <w:spacing w:before="20" w:after="60"/>
      </w:pPr>
      <w:r>
        <w:rPr>
          <w:rFonts w:ascii="Calibri" w:hAnsi="Calibri"/>
          <w:b w:val="0"/>
          <w:i w:val="0"/>
          <w:color w:val="2D2D2D"/>
          <w:sz w:val="21"/>
        </w:rPr>
        <w:t>Journey performance varies significantly. The Welcome Journey (JNY001) typically achieves the highest open rates because prospects are most engaged immediately after intake. Re-Engagement (JNY003) has lower open rates by design — it targets lapsed contacts — but a high click-to-open ratio indicates the content is highly relevant when it does land.</w:t>
      </w:r>
    </w:p>
    <w:p>
      <w:pPr>
        <w:spacing w:before="200" w:after="40"/>
      </w:pPr>
      <w:r>
        <w:rPr>
          <w:rFonts w:ascii="Calibri" w:hAnsi="Calibri"/>
          <w:b/>
          <w:i w:val="0"/>
          <w:color w:val="007A7A"/>
          <w:sz w:val="24"/>
        </w:rPr>
        <w:t>Expected Output (Approximate)</w:t>
      </w:r>
    </w:p>
    <w:tbl>
      <w:tblPr>
        <w:tblStyle w:val="TableGrid"/>
        <w:tblW w:type="auto" w:w="0"/>
        <w:jc w:val="left"/>
        <w:tblLook w:firstColumn="1" w:firstRow="1" w:lastColumn="0" w:lastRow="0" w:noHBand="0" w:noVBand="1" w:val="04A0"/>
      </w:tblPr>
      <w:tblGrid>
        <w:gridCol w:w="1624"/>
        <w:gridCol w:w="1624"/>
        <w:gridCol w:w="1624"/>
        <w:gridCol w:w="1624"/>
        <w:gridCol w:w="1624"/>
        <w:gridCol w:w="1624"/>
      </w:tblGrid>
      <w:tr>
        <w:tc>
          <w:tcPr>
            <w:tcW w:type="dxa" w:w="1624"/>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Journey Code</w:t>
            </w:r>
          </w:p>
        </w:tc>
        <w:tc>
          <w:tcPr>
            <w:tcW w:type="dxa" w:w="1624"/>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Journey Name</w:t>
            </w:r>
          </w:p>
        </w:tc>
        <w:tc>
          <w:tcPr>
            <w:tcW w:type="dxa" w:w="1624"/>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Sent</w:t>
            </w:r>
          </w:p>
        </w:tc>
        <w:tc>
          <w:tcPr>
            <w:tcW w:type="dxa" w:w="1624"/>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Opened</w:t>
            </w:r>
          </w:p>
        </w:tc>
        <w:tc>
          <w:tcPr>
            <w:tcW w:type="dxa" w:w="1624"/>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Clicked</w:t>
            </w:r>
          </w:p>
        </w:tc>
        <w:tc>
          <w:tcPr>
            <w:tcW w:type="dxa" w:w="1624"/>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Open Rate</w:t>
            </w:r>
          </w:p>
        </w:tc>
      </w:tr>
      <w:tr>
        <w:tc>
          <w:tcPr>
            <w:tcW w:type="dxa" w:w="1624"/>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JNY001</w:t>
            </w:r>
          </w:p>
        </w:tc>
        <w:tc>
          <w:tcPr>
            <w:tcW w:type="dxa" w:w="1624"/>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Welcome Journey</w:t>
            </w:r>
          </w:p>
        </w:tc>
        <w:tc>
          <w:tcPr>
            <w:tcW w:type="dxa" w:w="1624"/>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~1,100</w:t>
            </w:r>
          </w:p>
        </w:tc>
        <w:tc>
          <w:tcPr>
            <w:tcW w:type="dxa" w:w="1624"/>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~870</w:t>
            </w:r>
          </w:p>
        </w:tc>
        <w:tc>
          <w:tcPr>
            <w:tcW w:type="dxa" w:w="1624"/>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~790</w:t>
            </w:r>
          </w:p>
        </w:tc>
        <w:tc>
          <w:tcPr>
            <w:tcW w:type="dxa" w:w="1624"/>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~79%</w:t>
            </w:r>
          </w:p>
        </w:tc>
      </w:tr>
      <w:tr>
        <w:tc>
          <w:tcPr>
            <w:tcW w:type="dxa" w:w="1624"/>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JNY002</w:t>
            </w:r>
          </w:p>
        </w:tc>
        <w:tc>
          <w:tcPr>
            <w:tcW w:type="dxa" w:w="1624"/>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Nurture Journey</w:t>
            </w:r>
          </w:p>
        </w:tc>
        <w:tc>
          <w:tcPr>
            <w:tcW w:type="dxa" w:w="1624"/>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~1,200</w:t>
            </w:r>
          </w:p>
        </w:tc>
        <w:tc>
          <w:tcPr>
            <w:tcW w:type="dxa" w:w="1624"/>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~890</w:t>
            </w:r>
          </w:p>
        </w:tc>
        <w:tc>
          <w:tcPr>
            <w:tcW w:type="dxa" w:w="1624"/>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~800</w:t>
            </w:r>
          </w:p>
        </w:tc>
        <w:tc>
          <w:tcPr>
            <w:tcW w:type="dxa" w:w="1624"/>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~74%</w:t>
            </w:r>
          </w:p>
        </w:tc>
      </w:tr>
      <w:tr>
        <w:tc>
          <w:tcPr>
            <w:tcW w:type="dxa" w:w="1624"/>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JNY003</w:t>
            </w:r>
          </w:p>
        </w:tc>
        <w:tc>
          <w:tcPr>
            <w:tcW w:type="dxa" w:w="1624"/>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Re-Engagement Journey</w:t>
            </w:r>
          </w:p>
        </w:tc>
        <w:tc>
          <w:tcPr>
            <w:tcW w:type="dxa" w:w="1624"/>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~1,000</w:t>
            </w:r>
          </w:p>
        </w:tc>
        <w:tc>
          <w:tcPr>
            <w:tcW w:type="dxa" w:w="1624"/>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~710</w:t>
            </w:r>
          </w:p>
        </w:tc>
        <w:tc>
          <w:tcPr>
            <w:tcW w:type="dxa" w:w="1624"/>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~640</w:t>
            </w:r>
          </w:p>
        </w:tc>
        <w:tc>
          <w:tcPr>
            <w:tcW w:type="dxa" w:w="1624"/>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~71%</w:t>
            </w:r>
          </w:p>
        </w:tc>
      </w:tr>
      <w:tr>
        <w:tc>
          <w:tcPr>
            <w:tcW w:type="dxa" w:w="1624"/>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JNY004</w:t>
            </w:r>
          </w:p>
        </w:tc>
        <w:tc>
          <w:tcPr>
            <w:tcW w:type="dxa" w:w="1624"/>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Conversion Journey</w:t>
            </w:r>
          </w:p>
        </w:tc>
        <w:tc>
          <w:tcPr>
            <w:tcW w:type="dxa" w:w="1624"/>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~986</w:t>
            </w:r>
          </w:p>
        </w:tc>
        <w:tc>
          <w:tcPr>
            <w:tcW w:type="dxa" w:w="1624"/>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~776</w:t>
            </w:r>
          </w:p>
        </w:tc>
        <w:tc>
          <w:tcPr>
            <w:tcW w:type="dxa" w:w="1624"/>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~655</w:t>
            </w:r>
          </w:p>
        </w:tc>
        <w:tc>
          <w:tcPr>
            <w:tcW w:type="dxa" w:w="1624"/>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~79%</w:t>
            </w:r>
          </w:p>
        </w:tc>
      </w:tr>
    </w:tbl>
    <w:p/>
    <w:p>
      <w:pPr>
        <w:spacing w:before="200" w:after="40"/>
      </w:pPr>
      <w:r>
        <w:rPr>
          <w:rFonts w:ascii="Calibri" w:hAnsi="Calibri"/>
          <w:b/>
          <w:i w:val="0"/>
          <w:color w:val="007A7A"/>
          <w:sz w:val="24"/>
        </w:rPr>
        <w:t>Validation SQL</w:t>
      </w:r>
    </w:p>
    <w:tbl>
      <w:tblPr>
        <w:tblW w:type="auto" w:w="0"/>
        <w:jc w:val="left"/>
        <w:tblLook w:firstColumn="1" w:firstRow="1" w:lastColumn="0" w:lastRow="0" w:noHBand="0" w:noVBand="1" w:val="04A0"/>
      </w:tblPr>
      <w:tblGrid>
        <w:gridCol w:w="9746"/>
      </w:tblGrid>
      <w:tr>
        <w:tc>
          <w:tcPr>
            <w:tcW w:type="dxa" w:w="9360"/>
            <w:shd w:val="clear" w:color="auto" w:fill="F4F4F4"/>
            <w:tcBorders>
              <w:top w:val="single" w:sz="4" w:space="0" w:color="BBBBBB"/>
              <w:bottom w:val="single" w:sz="4" w:space="0" w:color="BBBBBB"/>
              <w:left w:val="single" w:sz="4" w:space="0" w:color="BBBBBB"/>
              <w:right w:val="single" w:sz="4" w:space="0" w:color="BBBBBB"/>
            </w:tcBorders>
          </w:tcPr>
          <w:p>
            <w:pPr>
              <w:spacing w:before="80" w:after="80"/>
              <w:ind w:left="144"/>
            </w:pPr>
            <w:r>
              <w:rPr>
                <w:rFonts w:ascii="Courier New" w:hAnsi="Courier New"/>
                <w:color w:val="1A1A5E"/>
                <w:sz w:val="17"/>
              </w:rPr>
              <w:t>-- Journey-level email performance breakdown</w:t>
              <w:br/>
              <w:t>SELECT</w:t>
              <w:br/>
              <w:t xml:space="preserve">    e.JOURNEY_CODE,</w:t>
              <w:br/>
              <w:t xml:space="preserve">    COUNT_IF(e.EVENT_TYPE = 'SENT')  AS sent,</w:t>
              <w:br/>
              <w:t xml:space="preserve">    COUNT_IF(e.EVENT_TYPE = 'OPEN')  AS opened,</w:t>
              <w:br/>
              <w:t xml:space="preserve">    COUNT_IF(e.EVENT_TYPE = 'CLICK') AS clicked,</w:t>
              <w:br/>
              <w:t xml:space="preserve">    ROUND(COUNT_IF(e.EVENT_TYPE='OPEN')  * 100.0</w:t>
              <w:br/>
              <w:t xml:space="preserve">          / NULLIF(COUNT_IF(e.EVENT_TYPE='SENT'),0), 1)  AS open_rate_pct,</w:t>
              <w:br/>
              <w:t xml:space="preserve">    ROUND(COUNT_IF(e.EVENT_TYPE='CLICK') * 100.0</w:t>
              <w:br/>
              <w:t xml:space="preserve">          / NULLIF(COUNT_IF(e.EVENT_TYPE='OPEN'),0), 1)  AS click_to_open_pct</w:t>
              <w:br/>
              <w:t>FROM QA_FIPSAR_DW.GOLD.FACT_SFMC_ENGAGEMENT e</w:t>
              <w:br/>
              <w:t>GROUP BY e.JOURNEY_CODE</w:t>
              <w:br/>
              <w:t>ORDER BY open_rate_pct DESC;</w:t>
            </w:r>
          </w:p>
        </w:tc>
      </w:tr>
    </w:tbl>
    <w:p/>
    <w:tbl>
      <w:tblPr>
        <w:tblW w:type="auto" w:w="0"/>
        <w:jc w:val="left"/>
        <w:tblLook w:firstColumn="1" w:firstRow="1" w:lastColumn="0" w:lastRow="0" w:noHBand="0" w:noVBand="1" w:val="04A0"/>
      </w:tblPr>
      <w:tblGrid>
        <w:gridCol w:w="4873"/>
        <w:gridCol w:w="4873"/>
      </w:tblGrid>
      <w:tr>
        <w:tc>
          <w:tcPr>
            <w:tcW w:type="dxa" w:w="115"/>
            <w:shd w:val="clear" w:color="auto" w:fill="007A7A"/>
          </w:tcPr>
          <w:p/>
        </w:tc>
        <w:tc>
          <w:tcPr>
            <w:tcW w:type="dxa" w:w="4873"/>
            <w:shd w:val="clear" w:color="auto" w:fill="E6F4EA"/>
            <w:tcBorders>
              <w:top w:val="single" w:sz="4" w:space="0" w:color="007A7A"/>
              <w:bottom w:val="single" w:sz="4" w:space="0" w:color="007A7A"/>
              <w:left w:val="single" w:sz="4" w:space="0" w:color="007A7A"/>
              <w:right w:val="single" w:sz="4" w:space="0" w:color="007A7A"/>
            </w:tcBorders>
          </w:tcPr>
          <w:p>
            <w:pPr>
              <w:spacing w:before="80" w:after="80"/>
              <w:ind w:left="144"/>
            </w:pPr>
            <w:r>
              <w:rPr>
                <w:rFonts w:ascii="Calibri" w:hAnsi="Calibri"/>
                <w:color w:val="1B5E20"/>
                <w:sz w:val="20"/>
              </w:rPr>
              <w:t>💡 JNY001 (Welcome) and JNY004 (Conversion) both hit ~79% open rates. Consider sequencing JNY004 immediately after JNY001 for high-engagement prospects rather than waiting through the full nurture sequence.</w:t>
            </w:r>
          </w:p>
        </w:tc>
      </w:tr>
    </w:tbl>
    <w:p/>
    <w:p/>
    <w:p>
      <w:pPr>
        <w:spacing w:before="80" w:after="80"/>
        <w:pBdr>
          <w:bottom w:val="single" w:sz="4" w:space="1" w:color="DDDDDD"/>
        </w:pBdr>
      </w:pPr>
    </w:p>
    <w:p/>
    <w:p>
      <w:pPr>
        <w:spacing w:before="120" w:after="80"/>
      </w:pPr>
      <w:r>
        <w:rPr>
          <w:rFonts w:ascii="Calibri" w:hAnsi="Calibri"/>
          <w:b/>
          <w:i w:val="0"/>
          <w:color w:val="D4A017"/>
          <w:sz w:val="32"/>
        </w:rPr>
        <w:t xml:space="preserve">Q6  </w:t>
      </w:r>
      <w:r>
        <w:rPr>
          <w:rFonts w:ascii="Calibri" w:hAnsi="Calibri"/>
          <w:b/>
          <w:i w:val="0"/>
          <w:color w:val="1B3A6B"/>
          <w:sz w:val="26"/>
        </w:rPr>
        <w:t>Show me the monthly trend of lead intake for Q1 2026. Is volume growing or declining?</w:t>
      </w:r>
    </w:p>
    <w:p>
      <w:pPr>
        <w:spacing w:after="120"/>
      </w:pPr>
      <w:r>
        <w:rPr>
          <w:rFonts w:ascii="Calibri" w:hAnsi="Calibri"/>
          <w:b/>
          <w:i w:val="0"/>
          <w:color w:val="606060"/>
          <w:sz w:val="19"/>
        </w:rPr>
        <w:t xml:space="preserve">  Category: </w:t>
      </w:r>
      <w:r>
        <w:rPr>
          <w:rFonts w:ascii="Calibri" w:hAnsi="Calibri"/>
          <w:b w:val="0"/>
          <w:i w:val="0"/>
          <w:color w:val="007A7A"/>
          <w:sz w:val="19"/>
        </w:rPr>
        <w:t>Trend Analysis</w:t>
      </w:r>
    </w:p>
    <w:p>
      <w:pPr>
        <w:spacing w:before="200" w:after="40"/>
      </w:pPr>
      <w:r>
        <w:rPr>
          <w:rFonts w:ascii="Calibri" w:hAnsi="Calibri"/>
          <w:b/>
          <w:i w:val="0"/>
          <w:color w:val="007A7A"/>
          <w:sz w:val="24"/>
        </w:rPr>
        <w:t>Business Insight</w:t>
      </w:r>
    </w:p>
    <w:p>
      <w:pPr>
        <w:spacing w:before="20" w:after="60"/>
      </w:pPr>
      <w:r>
        <w:rPr>
          <w:rFonts w:ascii="Calibri" w:hAnsi="Calibri"/>
          <w:b w:val="0"/>
          <w:i w:val="0"/>
          <w:color w:val="2D2D2D"/>
          <w:sz w:val="21"/>
        </w:rPr>
        <w:t>Lead intake peaked in February/March 2026, reflecting a seasonal ramp-up typical of healthcare campaign cycles post-open enrollment. April shows partial data (records only through Apr 1). Month-over-month growth from January to March indicates the marketing spend was scaling up effectively through Q1.</w:t>
      </w:r>
    </w:p>
    <w:p>
      <w:pPr>
        <w:spacing w:before="200" w:after="40"/>
      </w:pPr>
      <w:r>
        <w:rPr>
          <w:rFonts w:ascii="Calibri" w:hAnsi="Calibri"/>
          <w:b/>
          <w:i w:val="0"/>
          <w:color w:val="007A7A"/>
          <w:sz w:val="24"/>
        </w:rPr>
        <w:t>Expected Output (Approximate)</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Month</w:t>
            </w:r>
          </w:p>
        </w:tc>
        <w:tc>
          <w:tcPr>
            <w:tcW w:type="dxa" w:w="2436"/>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Raw Leads</w:t>
            </w:r>
          </w:p>
        </w:tc>
        <w:tc>
          <w:tcPr>
            <w:tcW w:type="dxa" w:w="2436"/>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Valid Prospects</w:t>
            </w:r>
          </w:p>
        </w:tc>
        <w:tc>
          <w:tcPr>
            <w:tcW w:type="dxa" w:w="2436"/>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Conversion %</w:t>
            </w:r>
          </w:p>
        </w:tc>
      </w:tr>
      <w:tr>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January 2026</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~220</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~208</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~94.5%</w:t>
            </w:r>
          </w:p>
        </w:tc>
      </w:tr>
      <w:tr>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February 2026</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~215</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~204</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~94.9%</w:t>
            </w:r>
          </w:p>
        </w:tc>
      </w:tr>
      <w:tr>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March 2026</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~282</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~267</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~94.7%</w:t>
            </w:r>
          </w:p>
        </w:tc>
      </w:tr>
      <w:tr>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April 2026</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~83</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~79</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~95.2%</w:t>
            </w:r>
          </w:p>
        </w:tc>
      </w:tr>
    </w:tbl>
    <w:p/>
    <w:p>
      <w:pPr>
        <w:spacing w:before="200" w:after="40"/>
      </w:pPr>
      <w:r>
        <w:rPr>
          <w:rFonts w:ascii="Calibri" w:hAnsi="Calibri"/>
          <w:b/>
          <w:i w:val="0"/>
          <w:color w:val="007A7A"/>
          <w:sz w:val="24"/>
        </w:rPr>
        <w:t>Validation SQL</w:t>
      </w:r>
    </w:p>
    <w:tbl>
      <w:tblPr>
        <w:tblW w:type="auto" w:w="0"/>
        <w:jc w:val="left"/>
        <w:tblLook w:firstColumn="1" w:firstRow="1" w:lastColumn="0" w:lastRow="0" w:noHBand="0" w:noVBand="1" w:val="04A0"/>
      </w:tblPr>
      <w:tblGrid>
        <w:gridCol w:w="9746"/>
      </w:tblGrid>
      <w:tr>
        <w:tc>
          <w:tcPr>
            <w:tcW w:type="dxa" w:w="9360"/>
            <w:shd w:val="clear" w:color="auto" w:fill="F4F4F4"/>
            <w:tcBorders>
              <w:top w:val="single" w:sz="4" w:space="0" w:color="BBBBBB"/>
              <w:bottom w:val="single" w:sz="4" w:space="0" w:color="BBBBBB"/>
              <w:left w:val="single" w:sz="4" w:space="0" w:color="BBBBBB"/>
              <w:right w:val="single" w:sz="4" w:space="0" w:color="BBBBBB"/>
            </w:tcBorders>
          </w:tcPr>
          <w:p>
            <w:pPr>
              <w:spacing w:before="80" w:after="80"/>
              <w:ind w:left="144"/>
            </w:pPr>
            <w:r>
              <w:rPr>
                <w:rFonts w:ascii="Courier New" w:hAnsi="Courier New"/>
                <w:color w:val="1A1A5E"/>
                <w:sz w:val="17"/>
              </w:rPr>
              <w:t>-- Monthly lead intake trend</w:t>
              <w:br/>
              <w:t>SELECT</w:t>
              <w:br/>
              <w:t xml:space="preserve">    TO_CHAR(FILE_DATE, 'YYYY-MM')            AS intake_month,</w:t>
              <w:br/>
              <w:t xml:space="preserve">    COUNT(*)                                  AS raw_leads,</w:t>
              <w:br/>
              <w:t xml:space="preserve">    COUNT_IF(PATIENT_CONSENT = TRUE</w:t>
              <w:br/>
              <w:t xml:space="preserve">             AND EMAIL IS NOT NULL</w:t>
              <w:br/>
              <w:t xml:space="preserve">             AND PHONE_NUMBER IS NOT NULL)    AS clean_leads</w:t>
              <w:br/>
              <w:t>FROM QA_FIPSAR_PHI_HUB.STAGING.STG_PROSPECT_INTAKE</w:t>
              <w:br/>
              <w:t>GROUP BY intake_month</w:t>
              <w:br/>
              <w:t>ORDER BY intake_month;</w:t>
            </w:r>
          </w:p>
        </w:tc>
      </w:tr>
    </w:tbl>
    <w:p/>
    <w:tbl>
      <w:tblPr>
        <w:tblW w:type="auto" w:w="0"/>
        <w:jc w:val="left"/>
        <w:tblLook w:firstColumn="1" w:firstRow="1" w:lastColumn="0" w:lastRow="0" w:noHBand="0" w:noVBand="1" w:val="04A0"/>
      </w:tblPr>
      <w:tblGrid>
        <w:gridCol w:w="4873"/>
        <w:gridCol w:w="4873"/>
      </w:tblGrid>
      <w:tr>
        <w:tc>
          <w:tcPr>
            <w:tcW w:type="dxa" w:w="115"/>
            <w:shd w:val="clear" w:color="auto" w:fill="007A7A"/>
          </w:tcPr>
          <w:p/>
        </w:tc>
        <w:tc>
          <w:tcPr>
            <w:tcW w:type="dxa" w:w="4873"/>
            <w:shd w:val="clear" w:color="auto" w:fill="E6F4EA"/>
            <w:tcBorders>
              <w:top w:val="single" w:sz="4" w:space="0" w:color="007A7A"/>
              <w:bottom w:val="single" w:sz="4" w:space="0" w:color="007A7A"/>
              <w:left w:val="single" w:sz="4" w:space="0" w:color="007A7A"/>
              <w:right w:val="single" w:sz="4" w:space="0" w:color="007A7A"/>
            </w:tcBorders>
          </w:tcPr>
          <w:p>
            <w:pPr>
              <w:spacing w:before="80" w:after="80"/>
              <w:ind w:left="144"/>
            </w:pPr>
            <w:r>
              <w:rPr>
                <w:rFonts w:ascii="Calibri" w:hAnsi="Calibri"/>
                <w:color w:val="1B5E20"/>
                <w:sz w:val="20"/>
              </w:rPr>
              <w:t>💡 March shows the highest intake volume — typical for Q1 healthcare campaigns closing out before end-of-quarter. Monitor whether April maintains momentum into Q2.</w:t>
            </w:r>
          </w:p>
        </w:tc>
      </w:tr>
    </w:tbl>
    <w:p/>
    <w:p/>
    <w:p>
      <w:pPr>
        <w:spacing w:before="80" w:after="80"/>
        <w:pBdr>
          <w:bottom w:val="single" w:sz="4" w:space="1" w:color="DDDDDD"/>
        </w:pBdr>
      </w:pPr>
    </w:p>
    <w:p/>
    <w:p>
      <w:pPr>
        <w:spacing w:before="120" w:after="80"/>
      </w:pPr>
      <w:r>
        <w:rPr>
          <w:rFonts w:ascii="Calibri" w:hAnsi="Calibri"/>
          <w:b/>
          <w:i w:val="0"/>
          <w:color w:val="D4A017"/>
          <w:sz w:val="32"/>
        </w:rPr>
        <w:t xml:space="preserve">Q7  </w:t>
      </w:r>
      <w:r>
        <w:rPr>
          <w:rFonts w:ascii="Calibri" w:hAnsi="Calibri"/>
          <w:b/>
          <w:i w:val="0"/>
          <w:color w:val="1B3A6B"/>
          <w:sz w:val="26"/>
        </w:rPr>
        <w:t>How many prospects have bounced, unsubscribed, or filed spam complaints? What is the suppression rate?</w:t>
      </w:r>
    </w:p>
    <w:p>
      <w:pPr>
        <w:spacing w:after="120"/>
      </w:pPr>
      <w:r>
        <w:rPr>
          <w:rFonts w:ascii="Calibri" w:hAnsi="Calibri"/>
          <w:b/>
          <w:i w:val="0"/>
          <w:color w:val="606060"/>
          <w:sz w:val="19"/>
        </w:rPr>
        <w:t xml:space="preserve">  Category: </w:t>
      </w:r>
      <w:r>
        <w:rPr>
          <w:rFonts w:ascii="Calibri" w:hAnsi="Calibri"/>
          <w:b w:val="0"/>
          <w:i w:val="0"/>
          <w:color w:val="007A7A"/>
          <w:sz w:val="19"/>
        </w:rPr>
        <w:t>Suppression &amp; Deliverability</w:t>
      </w:r>
    </w:p>
    <w:p>
      <w:pPr>
        <w:spacing w:before="200" w:after="40"/>
      </w:pPr>
      <w:r>
        <w:rPr>
          <w:rFonts w:ascii="Calibri" w:hAnsi="Calibri"/>
          <w:b/>
          <w:i w:val="0"/>
          <w:color w:val="007A7A"/>
          <w:sz w:val="24"/>
        </w:rPr>
        <w:t>Business Insight</w:t>
      </w:r>
    </w:p>
    <w:p>
      <w:pPr>
        <w:spacing w:before="20" w:after="60"/>
      </w:pPr>
      <w:r>
        <w:rPr>
          <w:rFonts w:ascii="Calibri" w:hAnsi="Calibri"/>
          <w:b w:val="0"/>
          <w:i w:val="0"/>
          <w:color w:val="2D2D2D"/>
          <w:sz w:val="21"/>
        </w:rPr>
        <w:t>Suppression events (bounces, unsubscribes, spam complaints) are critical deliverability signals. A high hard-bounce rate indicates stale or invalid email addresses in the prospect pool. Unsubscribes signal journey fatigue — if they spike after JNY002 it means the nurture sequence is too aggressive. Any spam complaints need immediate review.</w:t>
      </w:r>
    </w:p>
    <w:p>
      <w:pPr>
        <w:spacing w:before="200" w:after="40"/>
      </w:pPr>
      <w:r>
        <w:rPr>
          <w:rFonts w:ascii="Calibri" w:hAnsi="Calibri"/>
          <w:b/>
          <w:i w:val="0"/>
          <w:color w:val="007A7A"/>
          <w:sz w:val="24"/>
        </w:rPr>
        <w:t>Expected Output (Approximate)</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Event Type</w:t>
            </w:r>
          </w:p>
        </w:tc>
        <w:tc>
          <w:tcPr>
            <w:tcW w:type="dxa" w:w="2436"/>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Event Count</w:t>
            </w:r>
          </w:p>
        </w:tc>
        <w:tc>
          <w:tcPr>
            <w:tcW w:type="dxa" w:w="2436"/>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Unique Prospects</w:t>
            </w:r>
          </w:p>
        </w:tc>
        <w:tc>
          <w:tcPr>
            <w:tcW w:type="dxa" w:w="2436"/>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Rate vs Sent</w:t>
            </w:r>
          </w:p>
        </w:tc>
      </w:tr>
      <w:tr>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BOUNCE</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~180</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~165</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~4.2%</w:t>
            </w:r>
          </w:p>
        </w:tc>
      </w:tr>
      <w:tr>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UNSUBSCRIBE</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~95</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~90</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~2.2%</w:t>
            </w:r>
          </w:p>
        </w:tc>
      </w:tr>
      <w:tr>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SPAM_COMPLAINT</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~20</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~19</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~0.5%</w:t>
            </w:r>
          </w:p>
        </w:tc>
      </w:tr>
      <w:tr>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Total Suppressed</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~295</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~274</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~6.4%</w:t>
            </w:r>
          </w:p>
        </w:tc>
      </w:tr>
    </w:tbl>
    <w:p/>
    <w:p>
      <w:pPr>
        <w:spacing w:before="200" w:after="40"/>
      </w:pPr>
      <w:r>
        <w:rPr>
          <w:rFonts w:ascii="Calibri" w:hAnsi="Calibri"/>
          <w:b/>
          <w:i w:val="0"/>
          <w:color w:val="007A7A"/>
          <w:sz w:val="24"/>
        </w:rPr>
        <w:t>Validation SQL</w:t>
      </w:r>
    </w:p>
    <w:tbl>
      <w:tblPr>
        <w:tblW w:type="auto" w:w="0"/>
        <w:jc w:val="left"/>
        <w:tblLook w:firstColumn="1" w:firstRow="1" w:lastColumn="0" w:lastRow="0" w:noHBand="0" w:noVBand="1" w:val="04A0"/>
      </w:tblPr>
      <w:tblGrid>
        <w:gridCol w:w="9746"/>
      </w:tblGrid>
      <w:tr>
        <w:tc>
          <w:tcPr>
            <w:tcW w:type="dxa" w:w="9360"/>
            <w:shd w:val="clear" w:color="auto" w:fill="F4F4F4"/>
            <w:tcBorders>
              <w:top w:val="single" w:sz="4" w:space="0" w:color="BBBBBB"/>
              <w:bottom w:val="single" w:sz="4" w:space="0" w:color="BBBBBB"/>
              <w:left w:val="single" w:sz="4" w:space="0" w:color="BBBBBB"/>
              <w:right w:val="single" w:sz="4" w:space="0" w:color="BBBBBB"/>
            </w:tcBorders>
          </w:tcPr>
          <w:p>
            <w:pPr>
              <w:spacing w:before="80" w:after="80"/>
              <w:ind w:left="144"/>
            </w:pPr>
            <w:r>
              <w:rPr>
                <w:rFonts w:ascii="Courier New" w:hAnsi="Courier New"/>
                <w:color w:val="1A1A5E"/>
                <w:sz w:val="17"/>
              </w:rPr>
              <w:t>-- Suppression and deliverability event counts</w:t>
              <w:br/>
              <w:t>SELECT</w:t>
              <w:br/>
              <w:t xml:space="preserve">    EVENT_TYPE,</w:t>
              <w:br/>
              <w:t xml:space="preserve">    COUNT(*)                           AS event_count,</w:t>
              <w:br/>
              <w:t xml:space="preserve">    COUNT(DISTINCT SUBSCRIBER_KEY)     AS unique_prospects,</w:t>
              <w:br/>
              <w:t xml:space="preserve">    ROUND(COUNT(*) * 100.0 / (</w:t>
              <w:br/>
              <w:t xml:space="preserve">        SELECT COUNT(*) FROM QA_FIPSAR_DW.GOLD.FACT_SFMC_ENGAGEMENT</w:t>
              <w:br/>
              <w:t xml:space="preserve">        WHERE EVENT_TYPE = 'SENT'</w:t>
              <w:br/>
              <w:t xml:space="preserve">    ), 2)                              AS rate_vs_sent_pct</w:t>
              <w:br/>
              <w:t>FROM QA_FIPSAR_DW.GOLD.FACT_SFMC_ENGAGEMENT</w:t>
              <w:br/>
              <w:t>WHERE EVENT_TYPE IN ('BOUNCE','UNSUBSCRIBE','SPAM_COMPLAINT')</w:t>
              <w:br/>
              <w:t>GROUP BY EVENT_TYPE</w:t>
              <w:br/>
              <w:t>ORDER BY event_count DESC;</w:t>
            </w:r>
          </w:p>
        </w:tc>
      </w:tr>
    </w:tbl>
    <w:p/>
    <w:tbl>
      <w:tblPr>
        <w:tblW w:type="auto" w:w="0"/>
        <w:jc w:val="left"/>
        <w:tblLook w:firstColumn="1" w:firstRow="1" w:lastColumn="0" w:lastRow="0" w:noHBand="0" w:noVBand="1" w:val="04A0"/>
      </w:tblPr>
      <w:tblGrid>
        <w:gridCol w:w="4873"/>
        <w:gridCol w:w="4873"/>
      </w:tblGrid>
      <w:tr>
        <w:tc>
          <w:tcPr>
            <w:tcW w:type="dxa" w:w="115"/>
            <w:shd w:val="clear" w:color="auto" w:fill="007A7A"/>
          </w:tcPr>
          <w:p/>
        </w:tc>
        <w:tc>
          <w:tcPr>
            <w:tcW w:type="dxa" w:w="4873"/>
            <w:shd w:val="clear" w:color="auto" w:fill="E6F4EA"/>
            <w:tcBorders>
              <w:top w:val="single" w:sz="4" w:space="0" w:color="007A7A"/>
              <w:bottom w:val="single" w:sz="4" w:space="0" w:color="007A7A"/>
              <w:left w:val="single" w:sz="4" w:space="0" w:color="007A7A"/>
              <w:right w:val="single" w:sz="4" w:space="0" w:color="007A7A"/>
            </w:tcBorders>
          </w:tcPr>
          <w:p>
            <w:pPr>
              <w:spacing w:before="80" w:after="80"/>
              <w:ind w:left="144"/>
            </w:pPr>
            <w:r>
              <w:rPr>
                <w:rFonts w:ascii="Calibri" w:hAnsi="Calibri"/>
                <w:color w:val="1B5E20"/>
                <w:sz w:val="20"/>
              </w:rPr>
              <w:t>💡 If bounce rate exceeds 5%, review email validation at intake. FIPSAR currently rejects NULL_EMAIL records at PHI stage — but valid-format emails that no longer exist still pass the gate and will surface as bounces in SFMC.</w:t>
            </w:r>
          </w:p>
        </w:tc>
      </w:tr>
    </w:tbl>
    <w:p/>
    <w:p/>
    <w:p>
      <w:pPr>
        <w:spacing w:before="80" w:after="80"/>
        <w:pBdr>
          <w:bottom w:val="single" w:sz="4" w:space="1" w:color="DDDDDD"/>
        </w:pBdr>
      </w:pPr>
    </w:p>
    <w:p/>
    <w:p>
      <w:pPr>
        <w:spacing w:before="120" w:after="80"/>
      </w:pPr>
      <w:r>
        <w:rPr>
          <w:rFonts w:ascii="Calibri" w:hAnsi="Calibri"/>
          <w:b/>
          <w:i w:val="0"/>
          <w:color w:val="D4A017"/>
          <w:sz w:val="32"/>
        </w:rPr>
        <w:t xml:space="preserve">Q8  </w:t>
      </w:r>
      <w:r>
        <w:rPr>
          <w:rFonts w:ascii="Calibri" w:hAnsi="Calibri"/>
          <w:b/>
          <w:i w:val="0"/>
          <w:color w:val="1B3A6B"/>
          <w:sz w:val="26"/>
        </w:rPr>
        <w:t>What is the age group distribution of our Gold-layer prospects and which group has the highest email engagement?</w:t>
      </w:r>
    </w:p>
    <w:p>
      <w:pPr>
        <w:spacing w:after="120"/>
      </w:pPr>
      <w:r>
        <w:rPr>
          <w:rFonts w:ascii="Calibri" w:hAnsi="Calibri"/>
          <w:b/>
          <w:i w:val="0"/>
          <w:color w:val="606060"/>
          <w:sz w:val="19"/>
        </w:rPr>
        <w:t xml:space="preserve">  Category: </w:t>
      </w:r>
      <w:r>
        <w:rPr>
          <w:rFonts w:ascii="Calibri" w:hAnsi="Calibri"/>
          <w:b w:val="0"/>
          <w:i w:val="0"/>
          <w:color w:val="007A7A"/>
          <w:sz w:val="19"/>
        </w:rPr>
        <w:t>Demographic Segmentation</w:t>
      </w:r>
    </w:p>
    <w:p>
      <w:pPr>
        <w:spacing w:before="200" w:after="40"/>
      </w:pPr>
      <w:r>
        <w:rPr>
          <w:rFonts w:ascii="Calibri" w:hAnsi="Calibri"/>
          <w:b/>
          <w:i w:val="0"/>
          <w:color w:val="007A7A"/>
          <w:sz w:val="24"/>
        </w:rPr>
        <w:t>Business Insight</w:t>
      </w:r>
    </w:p>
    <w:p>
      <w:pPr>
        <w:spacing w:before="20" w:after="60"/>
      </w:pPr>
      <w:r>
        <w:rPr>
          <w:rFonts w:ascii="Calibri" w:hAnsi="Calibri"/>
          <w:b w:val="0"/>
          <w:i w:val="0"/>
          <w:color w:val="2D2D2D"/>
          <w:sz w:val="21"/>
        </w:rPr>
        <w:t>Understanding age demographics helps personalise journey content. Healthcare marketing typically sees higher engagement from the 56-65 and 65+ cohorts who are actively evaluating insurance or care options. Younger cohorts (18-35) may require mobile-optimised, shorter email formats to drive click-through.</w:t>
      </w:r>
    </w:p>
    <w:p>
      <w:pPr>
        <w:spacing w:before="200" w:after="40"/>
      </w:pPr>
      <w:r>
        <w:rPr>
          <w:rFonts w:ascii="Calibri" w:hAnsi="Calibri"/>
          <w:b/>
          <w:i w:val="0"/>
          <w:color w:val="007A7A"/>
          <w:sz w:val="24"/>
        </w:rPr>
        <w:t>Expected Output (Approximate)</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Age Group</w:t>
            </w:r>
          </w:p>
        </w:tc>
        <w:tc>
          <w:tcPr>
            <w:tcW w:type="dxa" w:w="2436"/>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Prospect Count</w:t>
            </w:r>
          </w:p>
        </w:tc>
        <w:tc>
          <w:tcPr>
            <w:tcW w:type="dxa" w:w="2436"/>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 of Total</w:t>
            </w:r>
          </w:p>
        </w:tc>
        <w:tc>
          <w:tcPr>
            <w:tcW w:type="dxa" w:w="2436"/>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Avg Open Rate</w:t>
            </w:r>
          </w:p>
        </w:tc>
      </w:tr>
      <w:tr>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18-25</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~95</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12.5%</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~72%</w:t>
            </w:r>
          </w:p>
        </w:tc>
      </w:tr>
      <w:tr>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26-35</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~120</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15.8%</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~74%</w:t>
            </w:r>
          </w:p>
        </w:tc>
      </w:tr>
      <w:tr>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36-45</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~135</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17.8%</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~76%</w:t>
            </w:r>
          </w:p>
        </w:tc>
      </w:tr>
      <w:tr>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46-55</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~145</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19.1%</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~78%</w:t>
            </w:r>
          </w:p>
        </w:tc>
      </w:tr>
      <w:tr>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56-65</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~140</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18.5%</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~80%</w:t>
            </w:r>
          </w:p>
        </w:tc>
      </w:tr>
      <w:tr>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65+</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~123</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16.2%</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~81%</w:t>
            </w:r>
          </w:p>
        </w:tc>
      </w:tr>
    </w:tbl>
    <w:p/>
    <w:p>
      <w:pPr>
        <w:spacing w:before="200" w:after="40"/>
      </w:pPr>
      <w:r>
        <w:rPr>
          <w:rFonts w:ascii="Calibri" w:hAnsi="Calibri"/>
          <w:b/>
          <w:i w:val="0"/>
          <w:color w:val="007A7A"/>
          <w:sz w:val="24"/>
        </w:rPr>
        <w:t>Validation SQL</w:t>
      </w:r>
    </w:p>
    <w:tbl>
      <w:tblPr>
        <w:tblW w:type="auto" w:w="0"/>
        <w:jc w:val="left"/>
        <w:tblLook w:firstColumn="1" w:firstRow="1" w:lastColumn="0" w:lastRow="0" w:noHBand="0" w:noVBand="1" w:val="04A0"/>
      </w:tblPr>
      <w:tblGrid>
        <w:gridCol w:w="9746"/>
      </w:tblGrid>
      <w:tr>
        <w:tc>
          <w:tcPr>
            <w:tcW w:type="dxa" w:w="9360"/>
            <w:shd w:val="clear" w:color="auto" w:fill="F4F4F4"/>
            <w:tcBorders>
              <w:top w:val="single" w:sz="4" w:space="0" w:color="BBBBBB"/>
              <w:bottom w:val="single" w:sz="4" w:space="0" w:color="BBBBBB"/>
              <w:left w:val="single" w:sz="4" w:space="0" w:color="BBBBBB"/>
              <w:right w:val="single" w:sz="4" w:space="0" w:color="BBBBBB"/>
            </w:tcBorders>
          </w:tcPr>
          <w:p>
            <w:pPr>
              <w:spacing w:before="80" w:after="80"/>
              <w:ind w:left="144"/>
            </w:pPr>
            <w:r>
              <w:rPr>
                <w:rFonts w:ascii="Courier New" w:hAnsi="Courier New"/>
                <w:color w:val="1A1A5E"/>
                <w:sz w:val="17"/>
              </w:rPr>
              <w:t>-- Age group distribution with engagement rates</w:t>
              <w:br/>
              <w:t>SELECT</w:t>
              <w:br/>
              <w:t xml:space="preserve">    d.AGE_GROUP,</w:t>
              <w:br/>
              <w:t xml:space="preserve">    COUNT(DISTINCT d.PROSPECT_KEY)                             AS prospect_count,</w:t>
              <w:br/>
              <w:t xml:space="preserve">    ROUND(COUNT(DISTINCT d.PROSPECT_KEY) * 100.0</w:t>
              <w:br/>
              <w:t xml:space="preserve">          / SUM(COUNT(DISTINCT d.PROSPECT_KEY)) OVER(), 1)     AS pct_of_total,</w:t>
              <w:br/>
              <w:t xml:space="preserve">    ROUND(COUNT_IF(e.EVENT_TYPE = 'OPEN') * 100.0</w:t>
              <w:br/>
              <w:t xml:space="preserve">          / NULLIF(COUNT_IF(e.EVENT_TYPE = 'SENT'), 0), 1)     AS open_rate_pct</w:t>
              <w:br/>
              <w:t>FROM QA_FIPSAR_DW.GOLD.DIM_PROSPECT          d</w:t>
              <w:br/>
              <w:t>LEFT JOIN QA_FIPSAR_DW.GOLD.FACT_SFMC_ENGAGEMENT e</w:t>
              <w:br/>
              <w:t xml:space="preserve">       ON d.MASTER_PATIENT_ID = e.SUBSCRIBER_KEY</w:t>
              <w:br/>
              <w:t>GROUP BY d.AGE_GROUP</w:t>
              <w:br/>
              <w:t>ORDER BY d.AGE_GROUP;</w:t>
            </w:r>
          </w:p>
        </w:tc>
      </w:tr>
    </w:tbl>
    <w:p/>
    <w:tbl>
      <w:tblPr>
        <w:tblW w:type="auto" w:w="0"/>
        <w:jc w:val="left"/>
        <w:tblLook w:firstColumn="1" w:firstRow="1" w:lastColumn="0" w:lastRow="0" w:noHBand="0" w:noVBand="1" w:val="04A0"/>
      </w:tblPr>
      <w:tblGrid>
        <w:gridCol w:w="4873"/>
        <w:gridCol w:w="4873"/>
      </w:tblGrid>
      <w:tr>
        <w:tc>
          <w:tcPr>
            <w:tcW w:type="dxa" w:w="115"/>
            <w:shd w:val="clear" w:color="auto" w:fill="007A7A"/>
          </w:tcPr>
          <w:p/>
        </w:tc>
        <w:tc>
          <w:tcPr>
            <w:tcW w:type="dxa" w:w="4873"/>
            <w:shd w:val="clear" w:color="auto" w:fill="E6F4EA"/>
            <w:tcBorders>
              <w:top w:val="single" w:sz="4" w:space="0" w:color="007A7A"/>
              <w:bottom w:val="single" w:sz="4" w:space="0" w:color="007A7A"/>
              <w:left w:val="single" w:sz="4" w:space="0" w:color="007A7A"/>
              <w:right w:val="single" w:sz="4" w:space="0" w:color="007A7A"/>
            </w:tcBorders>
          </w:tcPr>
          <w:p>
            <w:pPr>
              <w:spacing w:before="80" w:after="80"/>
              <w:ind w:left="144"/>
            </w:pPr>
            <w:r>
              <w:rPr>
                <w:rFonts w:ascii="Calibri" w:hAnsi="Calibri"/>
                <w:color w:val="1B5E20"/>
                <w:sz w:val="20"/>
              </w:rPr>
              <w:t>💡 65+ cohort shows the highest open rate (~81%), confirming that older demographics are more likely to engage with healthcare-related content. Tailor JNY002/JNY004 messaging to this segment's concerns: coverage, affordability, preventive care.</w:t>
            </w:r>
          </w:p>
        </w:tc>
      </w:tr>
    </w:tbl>
    <w:p/>
    <w:p/>
    <w:p>
      <w:pPr>
        <w:spacing w:before="80" w:after="80"/>
        <w:pBdr>
          <w:bottom w:val="single" w:sz="4" w:space="1" w:color="DDDDDD"/>
        </w:pBdr>
      </w:pPr>
    </w:p>
    <w:p/>
    <w:p>
      <w:pPr>
        <w:spacing w:before="120" w:after="80"/>
      </w:pPr>
      <w:r>
        <w:rPr>
          <w:rFonts w:ascii="Calibri" w:hAnsi="Calibri"/>
          <w:b/>
          <w:i w:val="0"/>
          <w:color w:val="D4A017"/>
          <w:sz w:val="32"/>
        </w:rPr>
        <w:t xml:space="preserve">Q9  </w:t>
      </w:r>
      <w:r>
        <w:rPr>
          <w:rFonts w:ascii="Calibri" w:hAnsi="Calibri"/>
          <w:b/>
          <w:i w:val="0"/>
          <w:color w:val="1B3A6B"/>
          <w:sz w:val="26"/>
        </w:rPr>
        <w:t>Which states have the highest prospect concentration, and are high-volume states also high-engagement states?</w:t>
      </w:r>
    </w:p>
    <w:p>
      <w:pPr>
        <w:spacing w:after="120"/>
      </w:pPr>
      <w:r>
        <w:rPr>
          <w:rFonts w:ascii="Calibri" w:hAnsi="Calibri"/>
          <w:b/>
          <w:i w:val="0"/>
          <w:color w:val="606060"/>
          <w:sz w:val="19"/>
        </w:rPr>
        <w:t xml:space="preserve">  Category: </w:t>
      </w:r>
      <w:r>
        <w:rPr>
          <w:rFonts w:ascii="Calibri" w:hAnsi="Calibri"/>
          <w:b w:val="0"/>
          <w:i w:val="0"/>
          <w:color w:val="007A7A"/>
          <w:sz w:val="19"/>
        </w:rPr>
        <w:t>Geographic Analysis</w:t>
      </w:r>
    </w:p>
    <w:p>
      <w:pPr>
        <w:spacing w:before="200" w:after="40"/>
      </w:pPr>
      <w:r>
        <w:rPr>
          <w:rFonts w:ascii="Calibri" w:hAnsi="Calibri"/>
          <w:b/>
          <w:i w:val="0"/>
          <w:color w:val="007A7A"/>
          <w:sz w:val="24"/>
        </w:rPr>
        <w:t>Business Insight</w:t>
      </w:r>
    </w:p>
    <w:p>
      <w:pPr>
        <w:spacing w:before="20" w:after="60"/>
      </w:pPr>
      <w:r>
        <w:rPr>
          <w:rFonts w:ascii="Calibri" w:hAnsi="Calibri"/>
          <w:b w:val="0"/>
          <w:i w:val="0"/>
          <w:color w:val="2D2D2D"/>
          <w:sz w:val="21"/>
        </w:rPr>
        <w:t>Geographic concentration reveals where marketing spend is working and where there may be under-served markets. High-volume states that also show high email engagement rates represent the best ROI markets and should receive increased budget allocation. States with high volume but low engagement may require localised content or different channels.</w:t>
      </w:r>
    </w:p>
    <w:p>
      <w:pPr>
        <w:spacing w:before="200" w:after="40"/>
      </w:pPr>
      <w:r>
        <w:rPr>
          <w:rFonts w:ascii="Calibri" w:hAnsi="Calibri"/>
          <w:b/>
          <w:i w:val="0"/>
          <w:color w:val="007A7A"/>
          <w:sz w:val="24"/>
        </w:rPr>
        <w:t>Expected Output (Approximate)</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State</w:t>
            </w:r>
          </w:p>
        </w:tc>
        <w:tc>
          <w:tcPr>
            <w:tcW w:type="dxa" w:w="1949"/>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Prospect Count</w:t>
            </w:r>
          </w:p>
        </w:tc>
        <w:tc>
          <w:tcPr>
            <w:tcW w:type="dxa" w:w="1949"/>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Sent</w:t>
            </w:r>
          </w:p>
        </w:tc>
        <w:tc>
          <w:tcPr>
            <w:tcW w:type="dxa" w:w="1949"/>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Opened</w:t>
            </w:r>
          </w:p>
        </w:tc>
        <w:tc>
          <w:tcPr>
            <w:tcW w:type="dxa" w:w="1949"/>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Open Rate</w:t>
            </w:r>
          </w:p>
        </w:tc>
      </w:tr>
      <w:tr>
        <w:tc>
          <w:tcPr>
            <w:tcW w:type="dxa" w:w="19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FL</w:t>
            </w:r>
          </w:p>
        </w:tc>
        <w:tc>
          <w:tcPr>
            <w:tcW w:type="dxa" w:w="19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~72</w:t>
            </w:r>
          </w:p>
        </w:tc>
        <w:tc>
          <w:tcPr>
            <w:tcW w:type="dxa" w:w="19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~380</w:t>
            </w:r>
          </w:p>
        </w:tc>
        <w:tc>
          <w:tcPr>
            <w:tcW w:type="dxa" w:w="19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~295</w:t>
            </w:r>
          </w:p>
        </w:tc>
        <w:tc>
          <w:tcPr>
            <w:tcW w:type="dxa" w:w="19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~77.6%</w:t>
            </w:r>
          </w:p>
        </w:tc>
      </w:tr>
      <w:tr>
        <w:tc>
          <w:tcPr>
            <w:tcW w:type="dxa" w:w="1949"/>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CA</w:t>
            </w:r>
          </w:p>
        </w:tc>
        <w:tc>
          <w:tcPr>
            <w:tcW w:type="dxa" w:w="1949"/>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~68</w:t>
            </w:r>
          </w:p>
        </w:tc>
        <w:tc>
          <w:tcPr>
            <w:tcW w:type="dxa" w:w="1949"/>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~355</w:t>
            </w:r>
          </w:p>
        </w:tc>
        <w:tc>
          <w:tcPr>
            <w:tcW w:type="dxa" w:w="1949"/>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~270</w:t>
            </w:r>
          </w:p>
        </w:tc>
        <w:tc>
          <w:tcPr>
            <w:tcW w:type="dxa" w:w="1949"/>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~76.1%</w:t>
            </w:r>
          </w:p>
        </w:tc>
      </w:tr>
      <w:tr>
        <w:tc>
          <w:tcPr>
            <w:tcW w:type="dxa" w:w="19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TX</w:t>
            </w:r>
          </w:p>
        </w:tc>
        <w:tc>
          <w:tcPr>
            <w:tcW w:type="dxa" w:w="19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~65</w:t>
            </w:r>
          </w:p>
        </w:tc>
        <w:tc>
          <w:tcPr>
            <w:tcW w:type="dxa" w:w="19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~340</w:t>
            </w:r>
          </w:p>
        </w:tc>
        <w:tc>
          <w:tcPr>
            <w:tcW w:type="dxa" w:w="19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~258</w:t>
            </w:r>
          </w:p>
        </w:tc>
        <w:tc>
          <w:tcPr>
            <w:tcW w:type="dxa" w:w="19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~75.9%</w:t>
            </w:r>
          </w:p>
        </w:tc>
      </w:tr>
      <w:tr>
        <w:tc>
          <w:tcPr>
            <w:tcW w:type="dxa" w:w="1949"/>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NY</w:t>
            </w:r>
          </w:p>
        </w:tc>
        <w:tc>
          <w:tcPr>
            <w:tcW w:type="dxa" w:w="1949"/>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~62</w:t>
            </w:r>
          </w:p>
        </w:tc>
        <w:tc>
          <w:tcPr>
            <w:tcW w:type="dxa" w:w="1949"/>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~320</w:t>
            </w:r>
          </w:p>
        </w:tc>
        <w:tc>
          <w:tcPr>
            <w:tcW w:type="dxa" w:w="1949"/>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~245</w:t>
            </w:r>
          </w:p>
        </w:tc>
        <w:tc>
          <w:tcPr>
            <w:tcW w:type="dxa" w:w="1949"/>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~76.6%</w:t>
            </w:r>
          </w:p>
        </w:tc>
      </w:tr>
      <w:tr>
        <w:tc>
          <w:tcPr>
            <w:tcW w:type="dxa" w:w="19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IL</w:t>
            </w:r>
          </w:p>
        </w:tc>
        <w:tc>
          <w:tcPr>
            <w:tcW w:type="dxa" w:w="19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~55</w:t>
            </w:r>
          </w:p>
        </w:tc>
        <w:tc>
          <w:tcPr>
            <w:tcW w:type="dxa" w:w="19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~290</w:t>
            </w:r>
          </w:p>
        </w:tc>
        <w:tc>
          <w:tcPr>
            <w:tcW w:type="dxa" w:w="19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~222</w:t>
            </w:r>
          </w:p>
        </w:tc>
        <w:tc>
          <w:tcPr>
            <w:tcW w:type="dxa" w:w="1949"/>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~76.6%</w:t>
            </w:r>
          </w:p>
        </w:tc>
      </w:tr>
    </w:tbl>
    <w:p/>
    <w:p>
      <w:pPr>
        <w:spacing w:before="200" w:after="40"/>
      </w:pPr>
      <w:r>
        <w:rPr>
          <w:rFonts w:ascii="Calibri" w:hAnsi="Calibri"/>
          <w:b/>
          <w:i w:val="0"/>
          <w:color w:val="007A7A"/>
          <w:sz w:val="24"/>
        </w:rPr>
        <w:t>Validation SQL</w:t>
      </w:r>
    </w:p>
    <w:tbl>
      <w:tblPr>
        <w:tblW w:type="auto" w:w="0"/>
        <w:jc w:val="left"/>
        <w:tblLook w:firstColumn="1" w:firstRow="1" w:lastColumn="0" w:lastRow="0" w:noHBand="0" w:noVBand="1" w:val="04A0"/>
      </w:tblPr>
      <w:tblGrid>
        <w:gridCol w:w="9746"/>
      </w:tblGrid>
      <w:tr>
        <w:tc>
          <w:tcPr>
            <w:tcW w:type="dxa" w:w="9360"/>
            <w:shd w:val="clear" w:color="auto" w:fill="F4F4F4"/>
            <w:tcBorders>
              <w:top w:val="single" w:sz="4" w:space="0" w:color="BBBBBB"/>
              <w:bottom w:val="single" w:sz="4" w:space="0" w:color="BBBBBB"/>
              <w:left w:val="single" w:sz="4" w:space="0" w:color="BBBBBB"/>
              <w:right w:val="single" w:sz="4" w:space="0" w:color="BBBBBB"/>
            </w:tcBorders>
          </w:tcPr>
          <w:p>
            <w:pPr>
              <w:spacing w:before="80" w:after="80"/>
              <w:ind w:left="144"/>
            </w:pPr>
            <w:r>
              <w:rPr>
                <w:rFonts w:ascii="Courier New" w:hAnsi="Courier New"/>
                <w:color w:val="1A1A5E"/>
                <w:sz w:val="17"/>
              </w:rPr>
              <w:t>-- State-level prospect count and engagement</w:t>
              <w:br/>
              <w:t>SELECT</w:t>
              <w:br/>
              <w:t xml:space="preserve">    d.STATE,</w:t>
              <w:br/>
              <w:t xml:space="preserve">    COUNT(DISTINCT d.PROSPECT_KEY)                             AS prospect_count,</w:t>
              <w:br/>
              <w:t xml:space="preserve">    COUNT_IF(e.EVENT_TYPE = 'SENT')                           AS sent,</w:t>
              <w:br/>
              <w:t xml:space="preserve">    COUNT_IF(e.EVENT_TYPE = 'OPEN')                           AS opened,</w:t>
              <w:br/>
              <w:t xml:space="preserve">    ROUND(COUNT_IF(e.EVENT_TYPE='OPEN') * 100.0</w:t>
              <w:br/>
              <w:t xml:space="preserve">          / NULLIF(COUNT_IF(e.EVENT_TYPE='SENT'),0), 1)        AS open_rate_pct</w:t>
              <w:br/>
              <w:t>FROM QA_FIPSAR_DW.GOLD.DIM_PROSPECT          d</w:t>
              <w:br/>
              <w:t>LEFT JOIN QA_FIPSAR_DW.GOLD.FACT_SFMC_ENGAGEMENT e</w:t>
              <w:br/>
              <w:t xml:space="preserve">       ON d.MASTER_PATIENT_ID = e.SUBSCRIBER_KEY</w:t>
              <w:br/>
              <w:t>WHERE d.STATE &lt;&gt; 'UNKNOWN'</w:t>
              <w:br/>
              <w:t>GROUP BY d.STATE</w:t>
              <w:br/>
              <w:t>ORDER BY prospect_count DESC</w:t>
              <w:br/>
              <w:t>LIMIT 10;</w:t>
            </w:r>
          </w:p>
        </w:tc>
      </w:tr>
    </w:tbl>
    <w:p/>
    <w:tbl>
      <w:tblPr>
        <w:tblW w:type="auto" w:w="0"/>
        <w:jc w:val="left"/>
        <w:tblLook w:firstColumn="1" w:firstRow="1" w:lastColumn="0" w:lastRow="0" w:noHBand="0" w:noVBand="1" w:val="04A0"/>
      </w:tblPr>
      <w:tblGrid>
        <w:gridCol w:w="4873"/>
        <w:gridCol w:w="4873"/>
      </w:tblGrid>
      <w:tr>
        <w:tc>
          <w:tcPr>
            <w:tcW w:type="dxa" w:w="115"/>
            <w:shd w:val="clear" w:color="auto" w:fill="007A7A"/>
          </w:tcPr>
          <w:p/>
        </w:tc>
        <w:tc>
          <w:tcPr>
            <w:tcW w:type="dxa" w:w="4873"/>
            <w:shd w:val="clear" w:color="auto" w:fill="E6F4EA"/>
            <w:tcBorders>
              <w:top w:val="single" w:sz="4" w:space="0" w:color="007A7A"/>
              <w:bottom w:val="single" w:sz="4" w:space="0" w:color="007A7A"/>
              <w:left w:val="single" w:sz="4" w:space="0" w:color="007A7A"/>
              <w:right w:val="single" w:sz="4" w:space="0" w:color="007A7A"/>
            </w:tcBorders>
          </w:tcPr>
          <w:p>
            <w:pPr>
              <w:spacing w:before="80" w:after="80"/>
              <w:ind w:left="144"/>
            </w:pPr>
            <w:r>
              <w:rPr>
                <w:rFonts w:ascii="Calibri" w:hAnsi="Calibri"/>
                <w:color w:val="1B5E20"/>
                <w:sz w:val="20"/>
              </w:rPr>
              <w:t>💡 Note: The synthetic dataset has many STATE = 'UNKNOWN' values — in production, enriching the geo-lookup table (GEO_DIM) with valid USPS state codes will unlock full regional performance analysis.</w:t>
            </w:r>
          </w:p>
        </w:tc>
      </w:tr>
    </w:tbl>
    <w:p/>
    <w:p/>
    <w:p>
      <w:pPr>
        <w:spacing w:before="80" w:after="80"/>
        <w:pBdr>
          <w:bottom w:val="single" w:sz="4" w:space="1" w:color="DDDDDD"/>
        </w:pBdr>
      </w:pPr>
    </w:p>
    <w:p/>
    <w:p>
      <w:pPr>
        <w:spacing w:before="120" w:after="80"/>
      </w:pPr>
      <w:r>
        <w:rPr>
          <w:rFonts w:ascii="Calibri" w:hAnsi="Calibri"/>
          <w:b/>
          <w:i w:val="0"/>
          <w:color w:val="D4A017"/>
          <w:sz w:val="32"/>
        </w:rPr>
        <w:t xml:space="preserve">Q10  </w:t>
      </w:r>
      <w:r>
        <w:rPr>
          <w:rFonts w:ascii="Calibri" w:hAnsi="Calibri"/>
          <w:b/>
          <w:i w:val="0"/>
          <w:color w:val="1B3A6B"/>
          <w:sz w:val="26"/>
        </w:rPr>
        <w:t>How many prospects have completed the full 4-journey SFMC sequence vs dropped off — and at which journey stage is churn highest?</w:t>
      </w:r>
    </w:p>
    <w:p>
      <w:pPr>
        <w:spacing w:after="120"/>
      </w:pPr>
      <w:r>
        <w:rPr>
          <w:rFonts w:ascii="Calibri" w:hAnsi="Calibri"/>
          <w:b/>
          <w:i w:val="0"/>
          <w:color w:val="606060"/>
          <w:sz w:val="19"/>
        </w:rPr>
        <w:t xml:space="preserve">  Category: </w:t>
      </w:r>
      <w:r>
        <w:rPr>
          <w:rFonts w:ascii="Calibri" w:hAnsi="Calibri"/>
          <w:b w:val="0"/>
          <w:i w:val="0"/>
          <w:color w:val="007A7A"/>
          <w:sz w:val="19"/>
        </w:rPr>
        <w:t>Journey Completion &amp; Churn</w:t>
      </w:r>
    </w:p>
    <w:p>
      <w:pPr>
        <w:spacing w:before="200" w:after="40"/>
      </w:pPr>
      <w:r>
        <w:rPr>
          <w:rFonts w:ascii="Calibri" w:hAnsi="Calibri"/>
          <w:b/>
          <w:i w:val="0"/>
          <w:color w:val="007A7A"/>
          <w:sz w:val="24"/>
        </w:rPr>
        <w:t>Business Insight</w:t>
      </w:r>
    </w:p>
    <w:p>
      <w:pPr>
        <w:spacing w:before="20" w:after="60"/>
      </w:pPr>
      <w:r>
        <w:rPr>
          <w:rFonts w:ascii="Calibri" w:hAnsi="Calibri"/>
          <w:b w:val="0"/>
          <w:i w:val="0"/>
          <w:color w:val="2D2D2D"/>
          <w:sz w:val="21"/>
        </w:rPr>
        <w:t>Journey completion analysis reveals the 'leaky funnel' within the SFMC engagement layer. Prospects who receive all 4 journeys are exponentially more likely to convert. The biggest drop typically happens between JNY001→JNY002 (prospects who opened the welcome email but did not re-engage with the nurture sequence). Identifying and re-targetting this cohort is the highest-leverage optimisation available.</w:t>
      </w:r>
    </w:p>
    <w:p>
      <w:pPr>
        <w:spacing w:before="200" w:after="40"/>
      </w:pPr>
      <w:r>
        <w:rPr>
          <w:rFonts w:ascii="Calibri" w:hAnsi="Calibri"/>
          <w:b/>
          <w:i w:val="0"/>
          <w:color w:val="007A7A"/>
          <w:sz w:val="24"/>
        </w:rPr>
        <w:t>Expected Output (Approximate)</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Journey Reached</w:t>
            </w:r>
          </w:p>
        </w:tc>
        <w:tc>
          <w:tcPr>
            <w:tcW w:type="dxa" w:w="2436"/>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Unique Prospects</w:t>
            </w:r>
          </w:p>
        </w:tc>
        <w:tc>
          <w:tcPr>
            <w:tcW w:type="dxa" w:w="2436"/>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Drop from Prior Stage</w:t>
            </w:r>
          </w:p>
        </w:tc>
        <w:tc>
          <w:tcPr>
            <w:tcW w:type="dxa" w:w="2436"/>
            <w:shd w:val="clear" w:color="auto" w:fill="1B3A6B"/>
            <w:tcBorders>
              <w:top w:val="single" w:sz="4" w:space="0" w:color="1B3A6B"/>
              <w:bottom w:val="single" w:sz="4" w:space="0" w:color="1B3A6B"/>
              <w:left w:val="single" w:sz="4" w:space="0" w:color="1B3A6B"/>
              <w:right w:val="single" w:sz="4" w:space="0" w:color="1B3A6B"/>
            </w:tcBorders>
            <w:vAlign w:val="center"/>
          </w:tcPr>
          <w:p>
            <w:pPr>
              <w:jc w:val="center"/>
            </w:pPr>
            <w:r>
              <w:rPr>
                <w:rFonts w:ascii="Calibri" w:hAnsi="Calibri"/>
                <w:b/>
                <w:color w:val="FFFFFF"/>
                <w:sz w:val="18"/>
              </w:rPr>
              <w:t>Completion %</w:t>
            </w:r>
          </w:p>
        </w:tc>
      </w:tr>
      <w:tr>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JNY001 (Welcome)</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758</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100%</w:t>
            </w:r>
          </w:p>
        </w:tc>
      </w:tr>
      <w:tr>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JNY002 (Nurture)</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~710</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~48</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~93.7%</w:t>
            </w:r>
          </w:p>
        </w:tc>
      </w:tr>
      <w:tr>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JNY003 (Re-Engagement)</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~648</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~62</w:t>
            </w:r>
          </w:p>
        </w:tc>
        <w:tc>
          <w:tcPr>
            <w:tcW w:type="dxa" w:w="2436"/>
            <w:shd w:val="clear" w:color="auto" w:fill="FFFF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~85.5%</w:t>
            </w:r>
          </w:p>
        </w:tc>
      </w:tr>
      <w:tr>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JNY004 (Conversion)</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~582</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~66</w:t>
            </w:r>
          </w:p>
        </w:tc>
        <w:tc>
          <w:tcPr>
            <w:tcW w:type="dxa" w:w="2436"/>
            <w:shd w:val="clear" w:color="auto" w:fill="EAF2FF"/>
            <w:tcBorders>
              <w:top w:val="single" w:sz="2" w:space="0" w:color="CCCCCC"/>
              <w:bottom w:val="single" w:sz="2" w:space="0" w:color="CCCCCC"/>
              <w:left w:val="single" w:sz="2" w:space="0" w:color="CCCCCC"/>
              <w:right w:val="single" w:sz="2" w:space="0" w:color="CCCCCC"/>
            </w:tcBorders>
          </w:tcPr>
          <w:p>
            <w:pPr>
              <w:jc w:val="center"/>
            </w:pPr>
            <w:r>
              <w:rPr>
                <w:rFonts w:ascii="Calibri" w:hAnsi="Calibri"/>
                <w:color w:val="2D2D2D"/>
                <w:sz w:val="18"/>
              </w:rPr>
              <w:t>~76.8%</w:t>
            </w:r>
          </w:p>
        </w:tc>
      </w:tr>
    </w:tbl>
    <w:p/>
    <w:p>
      <w:pPr>
        <w:spacing w:before="200" w:after="40"/>
      </w:pPr>
      <w:r>
        <w:rPr>
          <w:rFonts w:ascii="Calibri" w:hAnsi="Calibri"/>
          <w:b/>
          <w:i w:val="0"/>
          <w:color w:val="007A7A"/>
          <w:sz w:val="24"/>
        </w:rPr>
        <w:t>Validation SQL</w:t>
      </w:r>
    </w:p>
    <w:tbl>
      <w:tblPr>
        <w:tblW w:type="auto" w:w="0"/>
        <w:jc w:val="left"/>
        <w:tblLook w:firstColumn="1" w:firstRow="1" w:lastColumn="0" w:lastRow="0" w:noHBand="0" w:noVBand="1" w:val="04A0"/>
      </w:tblPr>
      <w:tblGrid>
        <w:gridCol w:w="9746"/>
      </w:tblGrid>
      <w:tr>
        <w:tc>
          <w:tcPr>
            <w:tcW w:type="dxa" w:w="9360"/>
            <w:shd w:val="clear" w:color="auto" w:fill="F4F4F4"/>
            <w:tcBorders>
              <w:top w:val="single" w:sz="4" w:space="0" w:color="BBBBBB"/>
              <w:bottom w:val="single" w:sz="4" w:space="0" w:color="BBBBBB"/>
              <w:left w:val="single" w:sz="4" w:space="0" w:color="BBBBBB"/>
              <w:right w:val="single" w:sz="4" w:space="0" w:color="BBBBBB"/>
            </w:tcBorders>
          </w:tcPr>
          <w:p>
            <w:pPr>
              <w:spacing w:before="80" w:after="80"/>
              <w:ind w:left="144"/>
            </w:pPr>
            <w:r>
              <w:rPr>
                <w:rFonts w:ascii="Courier New" w:hAnsi="Courier New"/>
                <w:color w:val="1A1A5E"/>
                <w:sz w:val="17"/>
              </w:rPr>
              <w:t>-- Journey completion funnel — unique prospects per journey stage</w:t>
              <w:br/>
              <w:t>WITH journey_reach AS (</w:t>
              <w:br/>
              <w:t xml:space="preserve">    SELECT</w:t>
              <w:br/>
              <w:t xml:space="preserve">        SUBSCRIBER_KEY,</w:t>
              <w:br/>
              <w:t xml:space="preserve">        MAX(CASE WHEN JOURNEY_CODE = 'JNY001' THEN 1 ELSE 0 END) AS reached_jny001,</w:t>
              <w:br/>
              <w:t xml:space="preserve">        MAX(CASE WHEN JOURNEY_CODE = 'JNY002' THEN 1 ELSE 0 END) AS reached_jny002,</w:t>
              <w:br/>
              <w:t xml:space="preserve">        MAX(CASE WHEN JOURNEY_CODE = 'JNY003' THEN 1 ELSE 0 END) AS reached_jny003,</w:t>
              <w:br/>
              <w:t xml:space="preserve">        MAX(CASE WHEN JOURNEY_CODE = 'JNY004' THEN 1 ELSE 0 END) AS reached_jny004</w:t>
              <w:br/>
              <w:t xml:space="preserve">    FROM QA_FIPSAR_DW.GOLD.FACT_SFMC_ENGAGEMENT</w:t>
              <w:br/>
              <w:t xml:space="preserve">    GROUP BY SUBSCRIBER_KEY</w:t>
              <w:br/>
              <w:t>)</w:t>
              <w:br/>
              <w:t>SELECT</w:t>
              <w:br/>
              <w:t xml:space="preserve">    'JNY001' AS journey,  SUM(reached_jny001) AS unique_prospects FROM journey_reach</w:t>
              <w:br/>
              <w:t>UNION ALL</w:t>
              <w:br/>
              <w:t>SELECT 'JNY002',          SUM(reached_jny002) FROM journey_reach</w:t>
              <w:br/>
              <w:t>UNION ALL</w:t>
              <w:br/>
              <w:t>SELECT 'JNY003',          SUM(reached_jny003) FROM journey_reach</w:t>
              <w:br/>
              <w:t>UNION ALL</w:t>
              <w:br/>
              <w:t>SELECT 'JNY004',          SUM(reached_jny004) FROM journey_reach</w:t>
              <w:br/>
              <w:t>ORDER BY journey;</w:t>
            </w:r>
          </w:p>
        </w:tc>
      </w:tr>
    </w:tbl>
    <w:p/>
    <w:tbl>
      <w:tblPr>
        <w:tblW w:type="auto" w:w="0"/>
        <w:jc w:val="left"/>
        <w:tblLook w:firstColumn="1" w:firstRow="1" w:lastColumn="0" w:lastRow="0" w:noHBand="0" w:noVBand="1" w:val="04A0"/>
      </w:tblPr>
      <w:tblGrid>
        <w:gridCol w:w="4873"/>
        <w:gridCol w:w="4873"/>
      </w:tblGrid>
      <w:tr>
        <w:tc>
          <w:tcPr>
            <w:tcW w:type="dxa" w:w="115"/>
            <w:shd w:val="clear" w:color="auto" w:fill="007A7A"/>
          </w:tcPr>
          <w:p/>
        </w:tc>
        <w:tc>
          <w:tcPr>
            <w:tcW w:type="dxa" w:w="4873"/>
            <w:shd w:val="clear" w:color="auto" w:fill="E6F4EA"/>
            <w:tcBorders>
              <w:top w:val="single" w:sz="4" w:space="0" w:color="007A7A"/>
              <w:bottom w:val="single" w:sz="4" w:space="0" w:color="007A7A"/>
              <w:left w:val="single" w:sz="4" w:space="0" w:color="007A7A"/>
              <w:right w:val="single" w:sz="4" w:space="0" w:color="007A7A"/>
            </w:tcBorders>
          </w:tcPr>
          <w:p>
            <w:pPr>
              <w:spacing w:before="80" w:after="80"/>
              <w:ind w:left="144"/>
            </w:pPr>
            <w:r>
              <w:rPr>
                <w:rFonts w:ascii="Calibri" w:hAnsi="Calibri"/>
                <w:color w:val="1B5E20"/>
                <w:sz w:val="20"/>
              </w:rPr>
              <w:t>💡 Prospects who reach JNY004 (Conversion Journey) but do not click should be flagged for a manual outreach trigger. This cohort has demonstrated sustained engagement across 3 prior journeys — a personalised outreach has high likelihood of converting them.</w:t>
            </w:r>
          </w:p>
        </w:tc>
      </w:tr>
    </w:tbl>
    <w:p/>
    <w:p/>
    <w:p>
      <w:r>
        <w:br w:type="page"/>
      </w:r>
    </w:p>
    <w:p>
      <w:pPr>
        <w:spacing w:before="360" w:after="80"/>
        <w:pBdr>
          <w:bottom w:val="single" w:sz="8" w:space="1" w:color="1B3A6B"/>
        </w:pBdr>
      </w:pPr>
      <w:r>
        <w:rPr>
          <w:rFonts w:ascii="Calibri Light" w:hAnsi="Calibri Light"/>
          <w:b/>
          <w:i w:val="0"/>
          <w:color w:val="1B3A6B"/>
          <w:sz w:val="34"/>
        </w:rPr>
        <w:t>Appendix — QA Data Model Quick Reference</w:t>
      </w:r>
    </w:p>
    <w:p/>
    <w:p>
      <w:pPr>
        <w:spacing w:before="200" w:after="40"/>
      </w:pPr>
      <w:r>
        <w:rPr>
          <w:rFonts w:ascii="Calibri" w:hAnsi="Calibri"/>
          <w:b/>
          <w:i w:val="0"/>
          <w:color w:val="007A7A"/>
          <w:sz w:val="24"/>
        </w:rPr>
        <w:t>Pipeline Flow</w:t>
      </w:r>
    </w:p>
    <w:p>
      <w:pPr>
        <w:pStyle w:val="ListBullet"/>
        <w:spacing w:before="20" w:after="20"/>
      </w:pPr>
      <w:r>
        <w:rPr>
          <w:rFonts w:ascii="Calibri" w:hAnsi="Calibri"/>
          <w:b w:val="0"/>
          <w:i w:val="0"/>
          <w:color w:val="2D2D2D"/>
          <w:sz w:val="20"/>
        </w:rPr>
        <w:t>STG_PROSPECT_INTAKE (800 raw leads)</w:t>
      </w:r>
    </w:p>
    <w:p>
      <w:pPr>
        <w:pStyle w:val="ListBullet"/>
        <w:spacing w:before="20" w:after="20"/>
      </w:pPr>
      <w:r>
        <w:rPr>
          <w:rFonts w:ascii="Calibri" w:hAnsi="Calibri"/>
          <w:b w:val="0"/>
          <w:i w:val="0"/>
          <w:color w:val="2D2D2D"/>
          <w:sz w:val="20"/>
        </w:rPr>
        <w:t xml:space="preserve">  ↓  PHI quality gate: reject NULL_EMAIL (31), NULL_PHONE (4), NO_CONSENT (2)</w:t>
      </w:r>
    </w:p>
    <w:p>
      <w:pPr>
        <w:pStyle w:val="ListBullet"/>
        <w:spacing w:before="20" w:after="20"/>
      </w:pPr>
      <w:r>
        <w:rPr>
          <w:rFonts w:ascii="Calibri" w:hAnsi="Calibri"/>
          <w:b w:val="0"/>
          <w:i w:val="0"/>
          <w:color w:val="2D2D2D"/>
          <w:sz w:val="20"/>
        </w:rPr>
        <w:t>PHI_PROSPECT_MASTER (763 mastered records)</w:t>
      </w:r>
    </w:p>
    <w:p>
      <w:pPr>
        <w:pStyle w:val="ListBullet"/>
        <w:spacing w:before="20" w:after="20"/>
      </w:pPr>
      <w:r>
        <w:rPr>
          <w:rFonts w:ascii="Calibri" w:hAnsi="Calibri"/>
          <w:b w:val="0"/>
          <w:i w:val="0"/>
          <w:color w:val="2D2D2D"/>
          <w:sz w:val="20"/>
        </w:rPr>
        <w:t>PATIENT_IDENTITY_XREF (763 identity mappings)</w:t>
      </w:r>
    </w:p>
    <w:p>
      <w:pPr>
        <w:pStyle w:val="ListBullet"/>
        <w:spacing w:before="20" w:after="20"/>
      </w:pPr>
      <w:r>
        <w:rPr>
          <w:rFonts w:ascii="Calibri" w:hAnsi="Calibri"/>
          <w:b w:val="0"/>
          <w:i w:val="0"/>
          <w:color w:val="2D2D2D"/>
          <w:sz w:val="20"/>
        </w:rPr>
        <w:t>BRZ_PROSPECT_MASTER (763 bronze)</w:t>
      </w:r>
    </w:p>
    <w:p>
      <w:pPr>
        <w:pStyle w:val="ListBullet"/>
        <w:spacing w:before="20" w:after="20"/>
      </w:pPr>
      <w:r>
        <w:rPr>
          <w:rFonts w:ascii="Calibri" w:hAnsi="Calibri"/>
          <w:b w:val="0"/>
          <w:i w:val="0"/>
          <w:color w:val="2D2D2D"/>
          <w:sz w:val="20"/>
        </w:rPr>
        <w:t xml:space="preserve">  ↓  Silver deduplication: remove 5 DUPLICATE_RECORD_ID</w:t>
      </w:r>
    </w:p>
    <w:p>
      <w:pPr>
        <w:pStyle w:val="ListBullet"/>
        <w:spacing w:before="20" w:after="20"/>
      </w:pPr>
      <w:r>
        <w:rPr>
          <w:rFonts w:ascii="Calibri" w:hAnsi="Calibri"/>
          <w:b w:val="0"/>
          <w:i w:val="0"/>
          <w:color w:val="2D2D2D"/>
          <w:sz w:val="20"/>
        </w:rPr>
        <w:t>SLV_PROSPECT_MASTER (758 silver)</w:t>
      </w:r>
    </w:p>
    <w:p>
      <w:pPr>
        <w:pStyle w:val="ListBullet"/>
        <w:spacing w:before="20" w:after="20"/>
      </w:pPr>
      <w:r>
        <w:rPr>
          <w:rFonts w:ascii="Calibri" w:hAnsi="Calibri"/>
          <w:b w:val="0"/>
          <w:i w:val="0"/>
          <w:color w:val="2D2D2D"/>
          <w:sz w:val="20"/>
        </w:rPr>
        <w:t>DIM_PROSPECT + FACT_PROSPECT_INTAKE (758 gold)</w:t>
      </w:r>
    </w:p>
    <w:p>
      <w:pPr>
        <w:pStyle w:val="ListBullet"/>
        <w:spacing w:before="20" w:after="20"/>
      </w:pPr>
      <w:r>
        <w:rPr>
          <w:rFonts w:ascii="Calibri" w:hAnsi="Calibri"/>
          <w:b w:val="0"/>
          <w:i w:val="0"/>
          <w:color w:val="2D2D2D"/>
          <w:sz w:val="20"/>
        </w:rPr>
        <w:t>RAW_SFMC_SENT/OPENS/CLICKS/BOUNCES → FACT_SFMC_ENGAGEMENT (~10,627 events)</w:t>
      </w:r>
    </w:p>
    <w:p>
      <w:pPr>
        <w:pStyle w:val="ListBullet"/>
        <w:spacing w:before="20" w:after="20"/>
      </w:pPr>
      <w:r>
        <w:rPr>
          <w:rFonts w:ascii="Calibri" w:hAnsi="Calibri"/>
          <w:b w:val="0"/>
          <w:i w:val="0"/>
          <w:color w:val="2D2D2D"/>
          <w:sz w:val="20"/>
        </w:rPr>
        <w:t>DQ_REJECTION_LOG (42 total rejections audited)</w:t>
      </w:r>
    </w:p>
    <w:p/>
    <w:p>
      <w:pPr>
        <w:spacing w:before="200" w:after="40"/>
      </w:pPr>
      <w:r>
        <w:rPr>
          <w:rFonts w:ascii="Calibri" w:hAnsi="Calibri"/>
          <w:b/>
          <w:i w:val="0"/>
          <w:color w:val="007A7A"/>
          <w:sz w:val="24"/>
        </w:rPr>
        <w:t>Key Join Keys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1B3A6B"/>
          </w:tcPr>
          <w:p>
            <w:pPr>
              <w:jc w:val="center"/>
            </w:pPr>
            <w:r>
              <w:rPr>
                <w:rFonts w:ascii="Calibri" w:hAnsi="Calibri"/>
                <w:b/>
                <w:color w:val="FFFFFF"/>
                <w:sz w:val="19"/>
              </w:rPr>
              <w:t>Key</w:t>
            </w:r>
          </w:p>
        </w:tc>
        <w:tc>
          <w:tcPr>
            <w:tcW w:type="dxa" w:w="3249"/>
            <w:shd w:val="clear" w:color="auto" w:fill="1B3A6B"/>
          </w:tcPr>
          <w:p>
            <w:pPr>
              <w:jc w:val="center"/>
            </w:pPr>
            <w:r>
              <w:rPr>
                <w:rFonts w:ascii="Calibri" w:hAnsi="Calibri"/>
                <w:b/>
                <w:color w:val="FFFFFF"/>
                <w:sz w:val="19"/>
              </w:rPr>
              <w:t>Column Name</w:t>
            </w:r>
          </w:p>
        </w:tc>
        <w:tc>
          <w:tcPr>
            <w:tcW w:type="dxa" w:w="3249"/>
            <w:shd w:val="clear" w:color="auto" w:fill="1B3A6B"/>
          </w:tcPr>
          <w:p>
            <w:pPr>
              <w:jc w:val="center"/>
            </w:pPr>
            <w:r>
              <w:rPr>
                <w:rFonts w:ascii="Calibri" w:hAnsi="Calibri"/>
                <w:b/>
                <w:color w:val="FFFFFF"/>
                <w:sz w:val="19"/>
              </w:rPr>
              <w:t>Used In</w:t>
            </w:r>
          </w:p>
        </w:tc>
      </w:tr>
      <w:tr>
        <w:tc>
          <w:tcPr>
            <w:tcW w:type="dxa" w:w="3249"/>
            <w:shd w:val="clear" w:color="auto" w:fill="FFFFFF"/>
            <w:tcBorders>
              <w:top w:val="single" w:sz="2" w:space="0" w:color="CCCCCC"/>
              <w:bottom w:val="single" w:sz="2" w:space="0" w:color="CCCCCC"/>
              <w:left w:val="single" w:sz="2" w:space="0" w:color="CCCCCC"/>
              <w:right w:val="single" w:sz="2" w:space="0" w:color="CCCCCC"/>
            </w:tcBorders>
          </w:tcPr>
          <w:p>
            <w:r>
              <w:rPr>
                <w:rFonts w:ascii="Calibri" w:hAnsi="Calibri"/>
                <w:color w:val="2D2D2D"/>
                <w:sz w:val="18"/>
              </w:rPr>
              <w:t>Prospect Identity</w:t>
            </w:r>
          </w:p>
        </w:tc>
        <w:tc>
          <w:tcPr>
            <w:tcW w:type="dxa" w:w="3249"/>
            <w:shd w:val="clear" w:color="auto" w:fill="FFFFFF"/>
            <w:tcBorders>
              <w:top w:val="single" w:sz="2" w:space="0" w:color="CCCCCC"/>
              <w:bottom w:val="single" w:sz="2" w:space="0" w:color="CCCCCC"/>
              <w:left w:val="single" w:sz="2" w:space="0" w:color="CCCCCC"/>
              <w:right w:val="single" w:sz="2" w:space="0" w:color="CCCCCC"/>
            </w:tcBorders>
          </w:tcPr>
          <w:p>
            <w:r>
              <w:rPr>
                <w:rFonts w:ascii="Calibri" w:hAnsi="Calibri"/>
                <w:color w:val="2D2D2D"/>
                <w:sz w:val="18"/>
              </w:rPr>
              <w:t>MASTER_PATIENT_ID = SUBSCRIBER_KEY</w:t>
            </w:r>
          </w:p>
        </w:tc>
        <w:tc>
          <w:tcPr>
            <w:tcW w:type="dxa" w:w="3249"/>
            <w:shd w:val="clear" w:color="auto" w:fill="FFFFFF"/>
            <w:tcBorders>
              <w:top w:val="single" w:sz="2" w:space="0" w:color="CCCCCC"/>
              <w:bottom w:val="single" w:sz="2" w:space="0" w:color="CCCCCC"/>
              <w:left w:val="single" w:sz="2" w:space="0" w:color="CCCCCC"/>
              <w:right w:val="single" w:sz="2" w:space="0" w:color="CCCCCC"/>
            </w:tcBorders>
          </w:tcPr>
          <w:p>
            <w:r>
              <w:rPr>
                <w:rFonts w:ascii="Calibri" w:hAnsi="Calibri"/>
                <w:color w:val="2D2D2D"/>
                <w:sz w:val="18"/>
              </w:rPr>
              <w:t>DIM_PROSPECT ↔ FACT_SFMC_ENGAGEMENT</w:t>
            </w:r>
          </w:p>
        </w:tc>
      </w:tr>
      <w:tr>
        <w:tc>
          <w:tcPr>
            <w:tcW w:type="dxa" w:w="3249"/>
            <w:shd w:val="clear" w:color="auto" w:fill="EAF2FF"/>
            <w:tcBorders>
              <w:top w:val="single" w:sz="2" w:space="0" w:color="CCCCCC"/>
              <w:bottom w:val="single" w:sz="2" w:space="0" w:color="CCCCCC"/>
              <w:left w:val="single" w:sz="2" w:space="0" w:color="CCCCCC"/>
              <w:right w:val="single" w:sz="2" w:space="0" w:color="CCCCCC"/>
            </w:tcBorders>
          </w:tcPr>
          <w:p>
            <w:r>
              <w:rPr>
                <w:rFonts w:ascii="Calibri" w:hAnsi="Calibri"/>
                <w:color w:val="2D2D2D"/>
                <w:sz w:val="18"/>
              </w:rPr>
              <w:t>Intake Record</w:t>
            </w:r>
          </w:p>
        </w:tc>
        <w:tc>
          <w:tcPr>
            <w:tcW w:type="dxa" w:w="3249"/>
            <w:shd w:val="clear" w:color="auto" w:fill="EAF2FF"/>
            <w:tcBorders>
              <w:top w:val="single" w:sz="2" w:space="0" w:color="CCCCCC"/>
              <w:bottom w:val="single" w:sz="2" w:space="0" w:color="CCCCCC"/>
              <w:left w:val="single" w:sz="2" w:space="0" w:color="CCCCCC"/>
              <w:right w:val="single" w:sz="2" w:space="0" w:color="CCCCCC"/>
            </w:tcBorders>
          </w:tcPr>
          <w:p>
            <w:r>
              <w:rPr>
                <w:rFonts w:ascii="Calibri" w:hAnsi="Calibri"/>
                <w:color w:val="2D2D2D"/>
                <w:sz w:val="18"/>
              </w:rPr>
              <w:t>RECORD_ID</w:t>
            </w:r>
          </w:p>
        </w:tc>
        <w:tc>
          <w:tcPr>
            <w:tcW w:type="dxa" w:w="3249"/>
            <w:shd w:val="clear" w:color="auto" w:fill="EAF2FF"/>
            <w:tcBorders>
              <w:top w:val="single" w:sz="2" w:space="0" w:color="CCCCCC"/>
              <w:bottom w:val="single" w:sz="2" w:space="0" w:color="CCCCCC"/>
              <w:left w:val="single" w:sz="2" w:space="0" w:color="CCCCCC"/>
              <w:right w:val="single" w:sz="2" w:space="0" w:color="CCCCCC"/>
            </w:tcBorders>
          </w:tcPr>
          <w:p>
            <w:r>
              <w:rPr>
                <w:rFonts w:ascii="Calibri" w:hAnsi="Calibri"/>
                <w:color w:val="2D2D2D"/>
                <w:sz w:val="18"/>
              </w:rPr>
              <w:t>STG ↔ PHI ↔ BRZ ↔ SLV ↔ FACT_INTAKE</w:t>
            </w:r>
          </w:p>
        </w:tc>
      </w:tr>
      <w:tr>
        <w:tc>
          <w:tcPr>
            <w:tcW w:type="dxa" w:w="3249"/>
            <w:shd w:val="clear" w:color="auto" w:fill="FFFFFF"/>
            <w:tcBorders>
              <w:top w:val="single" w:sz="2" w:space="0" w:color="CCCCCC"/>
              <w:bottom w:val="single" w:sz="2" w:space="0" w:color="CCCCCC"/>
              <w:left w:val="single" w:sz="2" w:space="0" w:color="CCCCCC"/>
              <w:right w:val="single" w:sz="2" w:space="0" w:color="CCCCCC"/>
            </w:tcBorders>
          </w:tcPr>
          <w:p>
            <w:r>
              <w:rPr>
                <w:rFonts w:ascii="Calibri" w:hAnsi="Calibri"/>
                <w:color w:val="2D2D2D"/>
                <w:sz w:val="18"/>
              </w:rPr>
              <w:t>Surrogate Key</w:t>
            </w:r>
          </w:p>
        </w:tc>
        <w:tc>
          <w:tcPr>
            <w:tcW w:type="dxa" w:w="3249"/>
            <w:shd w:val="clear" w:color="auto" w:fill="FFFFFF"/>
            <w:tcBorders>
              <w:top w:val="single" w:sz="2" w:space="0" w:color="CCCCCC"/>
              <w:bottom w:val="single" w:sz="2" w:space="0" w:color="CCCCCC"/>
              <w:left w:val="single" w:sz="2" w:space="0" w:color="CCCCCC"/>
              <w:right w:val="single" w:sz="2" w:space="0" w:color="CCCCCC"/>
            </w:tcBorders>
          </w:tcPr>
          <w:p>
            <w:r>
              <w:rPr>
                <w:rFonts w:ascii="Calibri" w:hAnsi="Calibri"/>
                <w:color w:val="2D2D2D"/>
                <w:sz w:val="18"/>
              </w:rPr>
              <w:t>PROSPECT_KEY</w:t>
            </w:r>
          </w:p>
        </w:tc>
        <w:tc>
          <w:tcPr>
            <w:tcW w:type="dxa" w:w="3249"/>
            <w:shd w:val="clear" w:color="auto" w:fill="FFFFFF"/>
            <w:tcBorders>
              <w:top w:val="single" w:sz="2" w:space="0" w:color="CCCCCC"/>
              <w:bottom w:val="single" w:sz="2" w:space="0" w:color="CCCCCC"/>
              <w:left w:val="single" w:sz="2" w:space="0" w:color="CCCCCC"/>
              <w:right w:val="single" w:sz="2" w:space="0" w:color="CCCCCC"/>
            </w:tcBorders>
          </w:tcPr>
          <w:p>
            <w:r>
              <w:rPr>
                <w:rFonts w:ascii="Calibri" w:hAnsi="Calibri"/>
                <w:color w:val="2D2D2D"/>
                <w:sz w:val="18"/>
              </w:rPr>
              <w:t>DIM_PROSPECT ↔ FACT_PROSPECT_INTAKE</w:t>
            </w:r>
          </w:p>
        </w:tc>
      </w:tr>
      <w:tr>
        <w:tc>
          <w:tcPr>
            <w:tcW w:type="dxa" w:w="3249"/>
            <w:shd w:val="clear" w:color="auto" w:fill="EAF2FF"/>
            <w:tcBorders>
              <w:top w:val="single" w:sz="2" w:space="0" w:color="CCCCCC"/>
              <w:bottom w:val="single" w:sz="2" w:space="0" w:color="CCCCCC"/>
              <w:left w:val="single" w:sz="2" w:space="0" w:color="CCCCCC"/>
              <w:right w:val="single" w:sz="2" w:space="0" w:color="CCCCCC"/>
            </w:tcBorders>
          </w:tcPr>
          <w:p>
            <w:r>
              <w:rPr>
                <w:rFonts w:ascii="Calibri" w:hAnsi="Calibri"/>
                <w:color w:val="2D2D2D"/>
                <w:sz w:val="18"/>
              </w:rPr>
              <w:t>Journey</w:t>
            </w:r>
          </w:p>
        </w:tc>
        <w:tc>
          <w:tcPr>
            <w:tcW w:type="dxa" w:w="3249"/>
            <w:shd w:val="clear" w:color="auto" w:fill="EAF2FF"/>
            <w:tcBorders>
              <w:top w:val="single" w:sz="2" w:space="0" w:color="CCCCCC"/>
              <w:bottom w:val="single" w:sz="2" w:space="0" w:color="CCCCCC"/>
              <w:left w:val="single" w:sz="2" w:space="0" w:color="CCCCCC"/>
              <w:right w:val="single" w:sz="2" w:space="0" w:color="CCCCCC"/>
            </w:tcBorders>
          </w:tcPr>
          <w:p>
            <w:r>
              <w:rPr>
                <w:rFonts w:ascii="Calibri" w:hAnsi="Calibri"/>
                <w:color w:val="2D2D2D"/>
                <w:sz w:val="18"/>
              </w:rPr>
              <w:t>JOURNEY_CODE (JNY001–JNY004)</w:t>
            </w:r>
          </w:p>
        </w:tc>
        <w:tc>
          <w:tcPr>
            <w:tcW w:type="dxa" w:w="3249"/>
            <w:shd w:val="clear" w:color="auto" w:fill="EAF2FF"/>
            <w:tcBorders>
              <w:top w:val="single" w:sz="2" w:space="0" w:color="CCCCCC"/>
              <w:bottom w:val="single" w:sz="2" w:space="0" w:color="CCCCCC"/>
              <w:left w:val="single" w:sz="2" w:space="0" w:color="CCCCCC"/>
              <w:right w:val="single" w:sz="2" w:space="0" w:color="CCCCCC"/>
            </w:tcBorders>
          </w:tcPr>
          <w:p>
            <w:r>
              <w:rPr>
                <w:rFonts w:ascii="Calibri" w:hAnsi="Calibri"/>
                <w:color w:val="2D2D2D"/>
                <w:sz w:val="18"/>
              </w:rPr>
              <w:t>FACT_SFMC_ENGAGEMENT</w:t>
            </w:r>
          </w:p>
        </w:tc>
      </w:tr>
    </w:tbl>
    <w:p/>
    <w:p>
      <w:pPr>
        <w:spacing w:before="200" w:after="40"/>
      </w:pPr>
      <w:r>
        <w:rPr>
          <w:rFonts w:ascii="Calibri" w:hAnsi="Calibri"/>
          <w:b/>
          <w:i w:val="0"/>
          <w:color w:val="007A7A"/>
          <w:sz w:val="24"/>
        </w:rPr>
        <w:t>SFMC Journey Codes</w:t>
      </w:r>
    </w:p>
    <w:p>
      <w:pPr>
        <w:pStyle w:val="ListBullet"/>
        <w:spacing w:before="20" w:after="20"/>
      </w:pPr>
      <w:r>
        <w:rPr>
          <w:rFonts w:ascii="Calibri" w:hAnsi="Calibri"/>
          <w:b w:val="0"/>
          <w:i w:val="0"/>
          <w:color w:val="2D2D2D"/>
          <w:sz w:val="21"/>
        </w:rPr>
        <w:t>JNY001 — Welcome Journey (Stage 1: Welcome Email, Stage 2: Follow-Up)</w:t>
      </w:r>
    </w:p>
    <w:p>
      <w:pPr>
        <w:pStyle w:val="ListBullet"/>
        <w:spacing w:before="20" w:after="20"/>
      </w:pPr>
      <w:r>
        <w:rPr>
          <w:rFonts w:ascii="Calibri" w:hAnsi="Calibri"/>
          <w:b w:val="0"/>
          <w:i w:val="0"/>
          <w:color w:val="2D2D2D"/>
          <w:sz w:val="21"/>
        </w:rPr>
        <w:t>JNY002 — Nurture Journey (Stage 1: Educational, Stage 2: Testimonial)</w:t>
      </w:r>
    </w:p>
    <w:p>
      <w:pPr>
        <w:pStyle w:val="ListBullet"/>
        <w:spacing w:before="20" w:after="20"/>
      </w:pPr>
      <w:r>
        <w:rPr>
          <w:rFonts w:ascii="Calibri" w:hAnsi="Calibri"/>
          <w:b w:val="0"/>
          <w:i w:val="0"/>
          <w:color w:val="2D2D2D"/>
          <w:sz w:val="21"/>
        </w:rPr>
        <w:t>JNY003 — Re-Engagement Journey (Stage 1: Win-Back, Stage 2: Last Chance)</w:t>
      </w:r>
    </w:p>
    <w:p>
      <w:pPr>
        <w:pStyle w:val="ListBullet"/>
        <w:spacing w:before="20" w:after="20"/>
      </w:pPr>
      <w:r>
        <w:rPr>
          <w:rFonts w:ascii="Calibri" w:hAnsi="Calibri"/>
          <w:b w:val="0"/>
          <w:i w:val="0"/>
          <w:color w:val="2D2D2D"/>
          <w:sz w:val="21"/>
        </w:rPr>
        <w:t>JNY004 — Conversion Journey (Stage 1: Offer Email, Stage 2: Urgency Email)</w:t>
      </w:r>
    </w:p>
    <w:p/>
    <w:p>
      <w:pPr>
        <w:jc w:val="center"/>
      </w:pPr>
      <w:r>
        <w:rPr>
          <w:rFonts w:ascii="Calibri" w:hAnsi="Calibri"/>
          <w:b w:val="0"/>
          <w:i/>
          <w:color w:val="606060"/>
          <w:sz w:val="18"/>
        </w:rPr>
        <w:t>FIPSAR Intelligence Platform  |  QA Environment  |  Confidential</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