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045" w:type="dxa"/>
        <w:jc w:val="left"/>
        <w:tblInd w:w="-15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045"/>
      </w:tblGrid>
      <w:tr>
        <w:trPr/>
        <w:tc>
          <w:tcPr>
            <w:tcW w:w="12045" w:type="dxa"/>
            <w:tcBorders>
              <w:top w:val="nil"/>
              <w:left w:val="nil"/>
              <w:bottom w:val="nil"/>
              <w:right w:val="nil"/>
            </w:tcBorders>
            <w:shd w:color="auto" w:fill="0A1133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hanging="0" w:left="720" w:right="360"/>
              <w:jc w:val="center"/>
              <w:rPr/>
            </w:pPr>
            <w:r>
              <w:rPr>
                <w:rFonts w:eastAsia="IBM Plex Sans" w:cs="IBM Plex Sans" w:ascii="IBM Plex Sans" w:hAnsi="IBM Plex Sans"/>
                <w:b/>
                <w:color w:val="F6F7F9"/>
                <w:sz w:val="48"/>
                <w:szCs w:val="48"/>
                <w:lang w:val="en-US" w:eastAsia="en-US" w:bidi="ar-SA"/>
              </w:rPr>
              <w:t>Итоговый отчет по результатам тестирования сайта “ЗАГС”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ind w:hanging="0" w:left="720" w:right="360"/>
              <w:jc w:val="center"/>
              <w:rPr>
                <w:color w:val="729FCF"/>
                <w:sz w:val="28"/>
                <w:szCs w:val="28"/>
              </w:rPr>
            </w:pPr>
            <w:r>
              <w:rPr>
                <w:rFonts w:eastAsia="IBM Plex Sans" w:cs="IBM Plex Sans" w:ascii="IBM Plex Sans" w:hAnsi="IBM Plex Sans"/>
                <w:b/>
                <w:color w:val="729FCF"/>
                <w:sz w:val="28"/>
                <w:szCs w:val="28"/>
                <w:lang w:val="en-US" w:eastAsia="en-US" w:bidi="ar-SA"/>
              </w:rPr>
              <w:t>https://regoffice.senla.eu/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Roboto" w:hAnsi="Roboto" w:eastAsia="Roboto" w:cs="Roboto"/>
                <w:lang w:val="ru-RU"/>
              </w:rPr>
            </w:pPr>
            <w:r>
              <w:rPr>
                <w:rFonts w:eastAsia="Roboto" w:cs="Roboto" w:ascii="Roboto" w:hAnsi="Roboto"/>
                <w:lang w:val="ru-RU"/>
              </w:rPr>
            </w:r>
          </w:p>
        </w:tc>
      </w:tr>
    </w:tbl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  <w:lang w:val="ru-RU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7620</wp:posOffset>
            </wp:positionH>
            <wp:positionV relativeFrom="page">
              <wp:posOffset>5715</wp:posOffset>
            </wp:positionV>
            <wp:extent cx="7552690" cy="975360"/>
            <wp:effectExtent l="0" t="0" r="0" b="0"/>
            <wp:wrapNone/>
            <wp:docPr id="1" name="Picture 1" descr="A blue square with whit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quare with whit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" w:hAnsi="Roboto" w:eastAsia="Roboto" w:cs="Roboto"/>
          <w:sz w:val="10"/>
          <w:szCs w:val="10"/>
          <w:lang w:val="ru-RU"/>
        </w:rPr>
      </w:pPr>
      <w:r>
        <w:rPr>
          <w:rFonts w:eastAsia="Roboto" w:cs="Roboto" w:ascii="Roboto" w:hAnsi="Roboto"/>
          <w:sz w:val="10"/>
          <w:szCs w:val="10"/>
          <w:lang w:val="ru-RU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b/>
          <w:bCs/>
          <w:color w:val="729FCF"/>
          <w:sz w:val="48"/>
          <w:szCs w:val="48"/>
        </w:rPr>
      </w:pPr>
      <w:r>
        <w:rPr>
          <w:rFonts w:eastAsia="IBM Plex Sans Medium" w:cs="IBM Plex Sans Medium" w:ascii="IBM Plex Sans Medium" w:hAnsi="IBM Plex Sans Medium"/>
          <w:b/>
          <w:bCs/>
          <w:color w:val="729FCF"/>
          <w:sz w:val="48"/>
          <w:szCs w:val="48"/>
          <w:lang w:val="ru-RU"/>
        </w:rPr>
        <w:t>Содержание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 xml:space="preserve">Краткое описание  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>Методология тестирования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 xml:space="preserve">Область тестирования 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 xml:space="preserve">Сведения о ходе тестирования 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  <w:lang w:val="ru-RU"/>
        </w:rPr>
        <w:t>Выводы и рекомендации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  <w:t>Приложение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0" w:name="__RefHeading___Toc226_3039553134"/>
      <w:bookmarkEnd w:id="0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Краткое описание</w:t>
        <w:tab/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В ходе тестирования был создан план тетсирования, для обеспечения полноты тестироваания в соответствии с техническим заданием. Протестировано и отредактировано техническое задание.</w:t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Цель тестирования заключалась в проверке корректной работы всех обязательных функций сайта «ЗАГС», таких как регистрация заявки на регистрацию брака, регистрацию рождения, регистрацию смерти, администрирование заявок, также проверка корректной работы API, которая включает в себя отправку запросов, получения корректного тела ответа, статус-кода, создание и изменение записей в БД при отправке запроса через API. Тестирование создания, удаления, редактирования записей о пользователях и заявках в БД через UI и SQL запросы.</w:t>
      </w:r>
    </w:p>
    <w:p>
      <w:pPr>
        <w:pStyle w:val="Normal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 xml:space="preserve">Тестовое окружение: </w:t>
      </w:r>
    </w:p>
    <w:p>
      <w:pPr>
        <w:pStyle w:val="Normal"/>
        <w:numPr>
          <w:ilvl w:val="0"/>
          <w:numId w:val="3"/>
        </w:numPr>
        <w:spacing w:lineRule="auto" w:line="276" w:before="100" w:after="100"/>
        <w:rPr/>
      </w:pPr>
      <w:r>
        <w:rPr/>
        <w:t xml:space="preserve">Сайт «ЗАГС» </w:t>
      </w:r>
      <w:hyperlink r:id="rId3">
        <w:r>
          <w:rPr>
            <w:rStyle w:val="Hyperlink"/>
          </w:rPr>
          <w:t>https://regoffice.senla.eu/</w:t>
        </w:r>
      </w:hyperlink>
    </w:p>
    <w:p>
      <w:pPr>
        <w:pStyle w:val="Normal"/>
        <w:numPr>
          <w:ilvl w:val="0"/>
          <w:numId w:val="3"/>
        </w:numPr>
        <w:spacing w:lineRule="auto" w:line="276" w:before="100" w:after="100"/>
        <w:rPr/>
      </w:pPr>
      <w:r>
        <w:rPr/>
        <w:t>Build v 1.0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>OС: Linux Mint 22 Cinnamon 6.2.9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>Браузер: Google Chrome Версия 130.0.6723.58 (Официальная сборка), (64 бит)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 xml:space="preserve">СУБД: PostgreSQL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 xml:space="preserve">86.57.161.116:50432 </w:t>
      </w:r>
      <w:r>
        <w:rPr/>
        <w:t>БД register_office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/>
        <w:t>API документация: Swagger</w:t>
      </w:r>
      <w:r>
        <w:rPr>
          <w:shd w:fill="auto" w:val="clear"/>
          <w14:ligatures w14:val="none"/>
        </w:rPr>
        <w:t xml:space="preserve"> </w:t>
      </w:r>
      <w:hyperlink r:id="rId4">
        <w:r>
          <w:rPr>
            <w:rStyle w:val="Hyperlink"/>
            <w:rFonts w:ascii="apple-system;BlinkMacSystemFont;Segoe UI;Roboto;Noto Sans;Ubuntu;Droid Sans;Helvetica Neue;sans-serif" w:hAnsi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  <w:shd w:fill="auto" w:val="clear"/>
            <w14:ligatures w14:val="none"/>
          </w:rPr>
          <w:t>https://regoffice.senla.eu/swagger</w:t>
        </w:r>
      </w:hyperlink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1" w:name="__RefHeading___Toc230_3039553134"/>
      <w:bookmarkEnd w:id="1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Методологии тестирования</w:t>
        <w:tab/>
      </w:r>
    </w:p>
    <w:p>
      <w:pPr>
        <w:pStyle w:val="Heading3"/>
        <w:keepNext w:val="false"/>
        <w:keepLines w:val="false"/>
        <w:numPr>
          <w:ilvl w:val="0"/>
          <w:numId w:val="1"/>
        </w:numPr>
        <w:spacing w:lineRule="auto" w:line="276" w:before="100" w:after="1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Функциональное тестирование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/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Исследовательское тестирование</w:t>
      </w:r>
    </w:p>
    <w:p>
      <w:pPr>
        <w:pStyle w:val="Normal"/>
        <w:numPr>
          <w:ilvl w:val="0"/>
          <w:numId w:val="1"/>
        </w:numPr>
        <w:spacing w:lineRule="auto" w:line="276" w:before="100" w:after="100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color w:val="000000"/>
        </w:rPr>
        <w:t>ТестированиеUX/UI</w:t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themeColor="accent1" w:themeShade="bf"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2" w:name="__RefHeading___Toc228_3039553134_Copy_1"/>
      <w:bookmarkEnd w:id="2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Область тестирования</w:t>
        <w:tab/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rFonts w:ascii="IBM Plex Sans" w:hAnsi="IBM Plex Sans" w:eastAsia="IBM Plex Sans" w:cs="IBM Plex Sans"/>
          <w:color w:val="000000"/>
          <w:sz w:val="22"/>
          <w:szCs w:val="22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  <w:t>В ходе тестирования было протестировано 4 модуля: модуль «Авторизация», модуль «Выбор услуги», модуль «Регистрация заявки», модуль «Администрирования заявок»</w:t>
      </w:r>
    </w:p>
    <w:tbl>
      <w:tblPr>
        <w:tblW w:w="87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9"/>
        <w:gridCol w:w="3060"/>
        <w:gridCol w:w="2430"/>
        <w:gridCol w:w="1710"/>
      </w:tblGrid>
      <w:tr>
        <w:trPr/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Сайт «ЗАГС»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Сабмодуль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Сабмодуль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3"/>
              <w:keepNext w:val="false"/>
              <w:keepLines w:val="false"/>
              <w:spacing w:lineRule="auto" w:line="276" w:before="100" w:after="100"/>
              <w:ind w:right="301"/>
              <w:rPr>
                <w:rFonts w:ascii="IBM Plex Sans" w:hAnsi="IBM Plex Sans" w:eastAsia="IBM Plex Sans" w:cs="IBM Plex Sans"/>
                <w:color w:val="000000"/>
                <w:sz w:val="22"/>
                <w:szCs w:val="22"/>
              </w:rPr>
            </w:pPr>
            <w:r>
              <w:rPr>
                <w:rFonts w:eastAsia="IBM Plex Sans" w:cs="IBM Plex Sans" w:ascii="IBM Plex Sans" w:hAnsi="IBM Plex Sans"/>
                <w:color w:themeColor="accent1" w:themeShade="bf" w:val="000000"/>
                <w:sz w:val="22"/>
                <w:szCs w:val="22"/>
              </w:rPr>
            </w:r>
          </w:p>
        </w:tc>
        <w:tc>
          <w:tcPr>
            <w:tcW w:w="30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0" w:right="0"/>
              <w:jc w:val="center"/>
              <w:rPr/>
            </w:pPr>
            <w:r>
              <w:rPr/>
              <w:t>Авторизация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Администратор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Пользователь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0" w:right="89"/>
              <w:jc w:val="center"/>
              <w:rPr/>
            </w:pPr>
            <w:r>
              <w:rPr/>
              <w:t>Выбор услуги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540" w:right="89"/>
              <w:jc w:val="left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lineRule="auto" w:line="276" w:before="0" w:after="0"/>
              <w:ind w:hanging="0" w:left="540" w:right="89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/>
              <w:jc w:val="center"/>
              <w:rPr/>
            </w:pPr>
            <w:r>
              <w:rPr/>
              <w:t>Регистрация заявок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Данные гражданина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Данные услуги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Брак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Рождение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Смерть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Статус заявки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Брак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Рождение</w:t>
            </w:r>
          </w:p>
        </w:tc>
      </w:tr>
      <w:tr>
        <w:trPr/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Смерть</w:t>
            </w:r>
          </w:p>
        </w:tc>
      </w:tr>
      <w:tr>
        <w:trPr>
          <w:trHeight w:val="440" w:hRule="atLeast"/>
        </w:trPr>
        <w:tc>
          <w:tcPr>
            <w:tcW w:w="14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/>
              <w:jc w:val="center"/>
              <w:rPr/>
            </w:pPr>
            <w:r>
              <w:rPr/>
              <w:t>Администрирование заявок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720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720"/>
              <w:rPr/>
            </w:pPr>
            <w:r>
              <w:rPr/>
            </w:r>
          </w:p>
        </w:tc>
      </w:tr>
    </w:tbl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themeColor="accent1" w:themeShade="bf"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themeColor="accent1" w:themeShade="bf"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r>
        <w:rPr>
          <w:rFonts w:eastAsia="IBM Plex Sans" w:cs="IBM Plex Sans" w:ascii="IBM Plex Sans" w:hAnsi="IBM Plex Sans"/>
          <w:color w:val="000000"/>
          <w:sz w:val="22"/>
          <w:szCs w:val="22"/>
          <w:lang w:val="ru-RU"/>
        </w:rPr>
      </w:r>
    </w:p>
    <w:p>
      <w:pPr>
        <w:pStyle w:val="Normal"/>
        <w:spacing w:lineRule="auto" w:line="276" w:before="100" w:after="100"/>
        <w:ind w:right="30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3" w:name="__RefHeading___Toc232_3039553134_Copy_1"/>
      <w:bookmarkEnd w:id="3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Сведения о ходе тестирования</w:t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1C4587"/>
          <w:sz w:val="22"/>
          <w:szCs w:val="22"/>
          <w:lang w:val="ru-RU"/>
        </w:rPr>
        <w:t xml:space="preserve">Тест-кейсы проведенные в ходе тестирования сайта </w:t>
      </w:r>
      <w:hyperlink r:id="rId5">
        <w:r>
          <w:rPr>
            <w:rStyle w:val="Hyperlink"/>
            <w:rFonts w:eastAsia="IBM Plex Sans Medium" w:cs="IBM Plex Sans Medium" w:ascii="IBM Plex Sans Medium" w:hAnsi="IBM Plex Sans Medium"/>
            <w:color w:val="1C4587"/>
            <w:sz w:val="22"/>
            <w:szCs w:val="22"/>
            <w:lang w:val="ru-RU"/>
          </w:rPr>
          <w:t>https://regoffice.senla.eu/</w:t>
        </w:r>
      </w:hyperlink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Общее количество выполненых и проваленых тест-кейсов по модулям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59"/>
        <w:gridCol w:w="1800"/>
        <w:gridCol w:w="1800"/>
        <w:gridCol w:w="1766"/>
      </w:tblGrid>
      <w:tr>
        <w:trPr/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Успешен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Провален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Авторизация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16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Выбор услуг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5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Регистрация заявки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32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51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</w:tr>
      <w:tr>
        <w:trPr/>
        <w:tc>
          <w:tcPr>
            <w:tcW w:w="3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Администрирование заявок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127622"/>
              </w:rPr>
            </w:pPr>
            <w:r>
              <w:rPr>
                <w:b/>
                <w:bCs/>
                <w:color w:val="127622"/>
              </w:rPr>
              <w:t>4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 xml:space="preserve">Общее количество выполненых и проваленых тест-кейсов 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color w:val="1C4587"/>
          <w:lang w:val="ru-RU"/>
        </w:rPr>
      </w:pPr>
      <w:r>
        <w:rPr>
          <w:rFonts w:eastAsia="IBM Plex Sans Medium" w:cs="IBM Plex Sans Medium" w:ascii="IBM Plex Sans Medium" w:hAnsi="IBM Plex Sans Medium"/>
          <w:color w:val="1C4587"/>
          <w:lang w:val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2047875"/>
            <wp:effectExtent l="0" t="0" r="0" b="0"/>
            <wp:wrapSquare wrapText="largest"/>
            <wp:docPr id="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>Модуль «Авторизация: Администратор»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276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Модуль «Авторизация: Пользователь»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408305</wp:posOffset>
            </wp:positionH>
            <wp:positionV relativeFrom="paragraph">
              <wp:posOffset>107950</wp:posOffset>
            </wp:positionV>
            <wp:extent cx="4914900" cy="22574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Модуль «Выбор услуги»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446405</wp:posOffset>
            </wp:positionH>
            <wp:positionV relativeFrom="paragraph">
              <wp:posOffset>98425</wp:posOffset>
            </wp:positionV>
            <wp:extent cx="4838700" cy="20764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«Регистрации заявки: Данные гражданина»</w:t>
      </w:r>
    </w:p>
    <w:p>
      <w:pPr>
        <w:pStyle w:val="Normal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441960</wp:posOffset>
            </wp:positionH>
            <wp:positionV relativeFrom="paragraph">
              <wp:posOffset>79375</wp:posOffset>
            </wp:positionV>
            <wp:extent cx="4848225" cy="2181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/>
        <w:t>Модуль «Регистрация заявки: Данные услуги/Брак»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20478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«Регистрация заявки: Данные услуги/Рождение»</w:t>
      </w:r>
    </w:p>
    <w:p>
      <w:pPr>
        <w:pStyle w:val="Normal"/>
        <w:numPr>
          <w:ilvl w:val="0"/>
          <w:numId w:val="0"/>
        </w:numPr>
        <w:ind w:hanging="0"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465455</wp:posOffset>
            </wp:positionH>
            <wp:positionV relativeFrom="paragraph">
              <wp:posOffset>95250</wp:posOffset>
            </wp:positionV>
            <wp:extent cx="4800600" cy="207645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«Регистрация заявки: Данные услуги/Рождение»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527685</wp:posOffset>
            </wp:positionH>
            <wp:positionV relativeFrom="paragraph">
              <wp:posOffset>47625</wp:posOffset>
            </wp:positionV>
            <wp:extent cx="4733925" cy="19716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«Статус заявки: Брак»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20383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«Статус заявки: Рождение»</w:t>
      </w:r>
    </w:p>
    <w:p>
      <w:pPr>
        <w:pStyle w:val="Normal"/>
        <w:numPr>
          <w:ilvl w:val="0"/>
          <w:numId w:val="0"/>
        </w:numPr>
        <w:ind w:hanging="0"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02882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«Статус заявки: Смерть»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color w:val="1C4587"/>
          <w:lang w:val="ru-RU"/>
        </w:rPr>
      </w:pPr>
      <w:r>
        <w:rPr>
          <w:rFonts w:eastAsia="IBM Plex Sans Medium" w:cs="IBM Plex Sans Medium" w:ascii="IBM Plex Sans Medium" w:hAnsi="IBM Plex Sans Medium"/>
          <w:color w:val="1C4587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480060</wp:posOffset>
            </wp:positionH>
            <wp:positionV relativeFrom="paragraph">
              <wp:posOffset>76200</wp:posOffset>
            </wp:positionV>
            <wp:extent cx="4772025" cy="188595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eastAsia="IBM Plex Sans Medium" w:cs="IBM Plex Sans Medium" w:ascii="IBM Plex Sans Medium" w:hAnsi="IBM Plex Sans Medium"/>
          <w:color w:val="000000"/>
          <w:sz w:val="22"/>
          <w:szCs w:val="22"/>
          <w:lang w:val="ru-RU"/>
        </w:rPr>
        <w:t>Модуль «Администрирование заявок»</w:t>
      </w:r>
    </w:p>
    <w:p>
      <w:pPr>
        <w:pStyle w:val="Normal"/>
        <w:numPr>
          <w:ilvl w:val="0"/>
          <w:numId w:val="0"/>
        </w:numPr>
        <w:ind w:hanging="0" w:left="720"/>
        <w:rPr>
          <w:rFonts w:ascii="IBM Plex Sans Medium" w:hAnsi="IBM Plex Sans Medium" w:eastAsia="IBM Plex Sans Medium" w:cs="IBM Plex Sans Medium"/>
          <w:lang w:val="ru-RU"/>
        </w:rPr>
      </w:pPr>
      <w:r>
        <w:rPr>
          <w:rFonts w:eastAsia="IBM Plex Sans Medium" w:cs="IBM Plex Sans Medium" w:ascii="IBM Plex Sans Medium" w:hAnsi="IBM Plex Sans Medium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480060</wp:posOffset>
            </wp:positionH>
            <wp:positionV relativeFrom="paragraph">
              <wp:posOffset>57150</wp:posOffset>
            </wp:positionV>
            <wp:extent cx="4772025" cy="20288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4" w:name="__RefHeading___Toc232_3039553134_Copy_1_"/>
      <w:bookmarkEnd w:id="4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Выводы и рекомендации</w:t>
      </w:r>
    </w:p>
    <w:p>
      <w:pPr>
        <w:pStyle w:val="Heading3"/>
        <w:keepNext w:val="false"/>
        <w:keepLines w:val="false"/>
        <w:widowControl/>
        <w:suppressAutoHyphens w:val="true"/>
        <w:bidi w:val="0"/>
        <w:spacing w:lineRule="auto" w:line="276" w:before="100" w:after="100"/>
        <w:ind w:right="301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На основе проведенного тестирования можно сделать следующие выводы: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 xml:space="preserve">Основная функциональность сайта регистрация заявок на брак, рождение и смерть функционирует 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Модуль администрирование заявок соответствует требованиям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Запросы отправленные через UI и API сохраняются в БД</w:t>
      </w:r>
    </w:p>
    <w:p>
      <w:pPr>
        <w:pStyle w:val="Normal"/>
        <w:widowControl/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Рекомендации: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Исправить дефекты связанные с полями ввода во всех формах регистрации заявок (валидация вводимых данных)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 xml:space="preserve">Исправить дефекты связанные с обязательность к заполнению полей 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Добавить плэйсхолдеры во все поля, где они отсутствуют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Исправить информационный тест на странице «Статус заявки» для всех услуг в соответствии с требованиями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Исправить дефект поля «Место рождения» (при отправки запроса на регистрацию заявки, поле автоматически заполняется значением «Москва»)</w:t>
      </w:r>
    </w:p>
    <w:p>
      <w:pPr>
        <w:pStyle w:val="Normal"/>
        <w:widowControl/>
        <w:numPr>
          <w:ilvl w:val="0"/>
          <w:numId w:val="5"/>
        </w:numPr>
        <w:suppressAutoHyphens w:val="true"/>
        <w:bidi w:val="0"/>
        <w:spacing w:lineRule="auto" w:line="276" w:before="100" w:after="100"/>
        <w:jc w:val="left"/>
        <w:rPr/>
      </w:pPr>
      <w:r>
        <w:rPr>
          <w:rStyle w:val="Hyperlink"/>
          <w:rFonts w:eastAsia="IBM Plex Sans" w:cs="IBM Plex Sans" w:ascii="IBM Plex Sans" w:hAnsi="IBM Plex Sans"/>
          <w:color w:val="000000"/>
          <w:sz w:val="22"/>
          <w:szCs w:val="22"/>
          <w:u w:val="none"/>
          <w:lang w:val="ru-RU" w:eastAsia="en-US" w:bidi="ar-SA"/>
        </w:rPr>
        <w:t>Без исправления данных дефектов, релиз продукта не рекомендуется</w:t>
      </w:r>
    </w:p>
    <w:p>
      <w:pPr>
        <w:pStyle w:val="Heading3"/>
        <w:keepNext w:val="false"/>
        <w:keepLines w:val="false"/>
        <w:widowControl/>
        <w:suppressAutoHyphens w:val="true"/>
        <w:bidi w:val="0"/>
        <w:spacing w:lineRule="auto" w:line="276" w:before="100" w:after="100"/>
        <w:ind w:right="301"/>
        <w:jc w:val="left"/>
        <w:rPr>
          <w:rFonts w:ascii="IBM Plex Sans" w:hAnsi="IBM Plex Sans" w:eastAsia="IBM Plex Sans" w:cs="IBM Plex Sans"/>
          <w:b/>
          <w:color w:val="073763"/>
          <w:sz w:val="28"/>
          <w:szCs w:val="28"/>
          <w:lang w:val="ru-RU"/>
        </w:rPr>
      </w:pPr>
      <w:r>
        <w:rPr/>
      </w:r>
    </w:p>
    <w:p>
      <w:pPr>
        <w:pStyle w:val="Heading2"/>
        <w:widowControl w:val="false"/>
        <w:pBdr>
          <w:bottom w:val="single" w:sz="8" w:space="2" w:color="999999"/>
        </w:pBdr>
        <w:spacing w:lineRule="auto" w:line="240" w:before="360" w:after="80"/>
        <w:ind w:right="405"/>
        <w:rPr>
          <w:rFonts w:ascii="IBM Plex Sans" w:hAnsi="IBM Plex Sans" w:eastAsia="IBM Plex Sans" w:cs="IBM Plex Sans"/>
          <w:color w:val="000000"/>
          <w:sz w:val="22"/>
          <w:szCs w:val="22"/>
          <w:lang w:val="ru-RU"/>
        </w:rPr>
      </w:pPr>
      <w:bookmarkStart w:id="5" w:name="__RefHeading___Toc232_3039553134_Copy_1_"/>
      <w:bookmarkEnd w:id="5"/>
      <w:r>
        <w:rPr>
          <w:rFonts w:eastAsia="IBM Plex Sans" w:cs="IBM Plex Sans" w:ascii="IBM Plex Sans" w:hAnsi="IBM Plex Sans"/>
          <w:b/>
          <w:color w:val="073763"/>
          <w:sz w:val="28"/>
          <w:szCs w:val="28"/>
          <w:lang w:val="ru-RU"/>
        </w:rPr>
        <w:t>Приложение</w:t>
      </w:r>
    </w:p>
    <w:p>
      <w:pPr>
        <w:pStyle w:val="Heading3"/>
        <w:keepNext w:val="false"/>
        <w:keepLines w:val="false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>Техническое задание</w:t>
      </w:r>
      <w:r>
        <w:rPr>
          <w:rStyle w:val="Hyperlink"/>
          <w:color w:val="1C4587"/>
          <w:sz w:val="22"/>
          <w:szCs w:val="22"/>
          <w:lang w:val="ru-RU"/>
        </w:rPr>
        <w:t xml:space="preserve"> - https://docs.google.com/document/d/1SashLsNu70J4L2H8id5pKBq0MZBM7USl/edit?usp=sharing&amp;ouid=105074465991918024592&amp;rtpof=true&amp;sd=true</w:t>
      </w:r>
    </w:p>
    <w:p>
      <w:pPr>
        <w:pStyle w:val="Heading3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 xml:space="preserve">Тест-план </w:t>
      </w:r>
      <w:r>
        <w:rPr>
          <w:rStyle w:val="Hyperlink"/>
          <w:color w:val="1C4587"/>
          <w:sz w:val="22"/>
          <w:szCs w:val="22"/>
          <w:lang w:val="ru-RU"/>
        </w:rPr>
        <w:t>- https://docs.google.com/spreadsheets/d/1JZJKvIuqgRJ42YIM1VmH1LcE-1-f9dLf/edit?usp=sharing&amp;ouid=105074465991918024592&amp;rtpof=true&amp;sd=true</w:t>
      </w:r>
    </w:p>
    <w:p>
      <w:pPr>
        <w:pStyle w:val="Normal"/>
        <w:spacing w:lineRule="auto" w:line="276" w:before="100" w:after="100"/>
        <w:ind w:right="301"/>
        <w:rPr/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 xml:space="preserve">Чек-лист - </w:t>
      </w:r>
      <w:r>
        <w:rPr>
          <w:rStyle w:val="Hyperlink"/>
          <w:b w:val="false"/>
          <w:bCs w:val="false"/>
          <w:color w:val="1C4587"/>
          <w:sz w:val="22"/>
          <w:szCs w:val="22"/>
          <w:lang w:val="ru-RU"/>
        </w:rPr>
        <w:t>https://docs.google.com/spreadsheets/d/1UbnL8oK2m4OLNeHsqMycsN5y1ryDLu-v/edit?usp=sharing&amp;ouid=105074465991918024592&amp;rtpof=true&amp;sd=true</w:t>
      </w:r>
    </w:p>
    <w:p>
      <w:pPr>
        <w:pStyle w:val="Normal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>Тест-кейсы</w:t>
      </w:r>
      <w:r>
        <w:rPr>
          <w:rStyle w:val="Hyperlink"/>
          <w:color w:val="1C4587"/>
          <w:sz w:val="22"/>
          <w:szCs w:val="22"/>
          <w:lang w:val="ru-RU"/>
        </w:rPr>
        <w:t xml:space="preserve"> - https://team-hnl0.testit.software/projects/1/tests?isolatedSection=9e6771a1-cad0-42ff-8d09-0722523b3d5e</w:t>
      </w:r>
    </w:p>
    <w:p>
      <w:pPr>
        <w:pStyle w:val="Normal"/>
        <w:spacing w:lineRule="auto" w:line="276" w:before="100" w:after="100"/>
        <w:ind w:right="301"/>
        <w:rPr>
          <w:sz w:val="22"/>
          <w:szCs w:val="22"/>
        </w:rPr>
      </w:pPr>
      <w:r>
        <w:rPr>
          <w:rStyle w:val="Hyperlink"/>
          <w:b/>
          <w:bCs/>
          <w:color w:val="1C4587"/>
          <w:sz w:val="22"/>
          <w:szCs w:val="22"/>
          <w:lang w:val="ru-RU"/>
        </w:rPr>
        <w:t>Баг-репорты</w:t>
      </w:r>
      <w:r>
        <w:rPr>
          <w:rStyle w:val="Hyperlink"/>
          <w:color w:val="1C4587"/>
          <w:sz w:val="22"/>
          <w:szCs w:val="22"/>
          <w:lang w:val="ru-RU"/>
        </w:rPr>
        <w:t xml:space="preserve"> - https://testqastand.youtrack.cloud/agiles/177-4/current</w:t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p>
      <w:pPr>
        <w:pStyle w:val="Normal"/>
        <w:rPr>
          <w:rFonts w:ascii="IBM Plex Sans Medium" w:hAnsi="IBM Plex Sans Medium" w:eastAsia="IBM Plex Sans Medium" w:cs="IBM Plex Sans Medium"/>
          <w:color w:val="1C4587"/>
          <w:sz w:val="28"/>
          <w:szCs w:val="28"/>
        </w:rPr>
      </w:pPr>
      <w:r>
        <w:rPr>
          <w:rFonts w:eastAsia="IBM Plex Sans Medium" w:cs="IBM Plex Sans Medium" w:ascii="IBM Plex Sans Medium" w:hAnsi="IBM Plex Sans Medium"/>
          <w:color w:val="1C4587"/>
          <w:sz w:val="28"/>
          <w:szCs w:val="28"/>
        </w:rPr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Arial">
    <w:charset w:val="01"/>
    <w:family w:val="swiss"/>
    <w:pitch w:val="default"/>
  </w:font>
  <w:font w:name="Aptos Display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IBM Plex Sans">
    <w:charset w:val="01"/>
    <w:family w:val="swiss"/>
    <w:pitch w:val="default"/>
  </w:font>
  <w:font w:name="Roboto">
    <w:charset w:val="01"/>
    <w:family w:val="swiss"/>
    <w:pitch w:val="default"/>
  </w:font>
  <w:font w:name="IBM Plex Sans Medium">
    <w:charset w:val="01"/>
    <w:family w:val="swiss"/>
    <w:pitch w:val="default"/>
  </w:font>
  <w:font w:name="apple-system">
    <w:altName w:val="BlinkMacSystemFont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6D9EEB"/>
        <w:sz w:val="20"/>
        <w:szCs w:val="20"/>
      </w:rPr>
    </w:pPr>
    <w:r>
      <w:rPr>
        <w:rFonts w:eastAsia="IBM Plex Sans" w:cs="IBM Plex Sans" w:ascii="IBM Plex Sans" w:hAnsi="IBM Plex Sans"/>
        <w:color w:val="6D9EEB"/>
        <w:sz w:val="20"/>
        <w:szCs w:val="20"/>
      </w:rP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4924425</wp:posOffset>
          </wp:positionH>
          <wp:positionV relativeFrom="paragraph">
            <wp:posOffset>-180975</wp:posOffset>
          </wp:positionV>
          <wp:extent cx="1431925" cy="367030"/>
          <wp:effectExtent l="0" t="0" r="0" b="0"/>
          <wp:wrapNone/>
          <wp:docPr id="1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043" t="-57165" r="-10260" b="-32118"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 w:val="false"/>
      <w:spacing w:lineRule="auto" w:line="240"/>
      <w:rPr>
        <w:rFonts w:ascii="IBM Plex Sans" w:hAnsi="IBM Plex Sans" w:eastAsia="IBM Plex Sans" w:cs="IBM Plex Sans"/>
        <w:color w:val="B7B7B7"/>
        <w:sz w:val="20"/>
        <w:szCs w:val="20"/>
      </w:rPr>
    </w:pPr>
    <w:r>
      <w:rPr>
        <w:rFonts w:eastAsia="IBM Plex Sans" w:cs="IBM Plex Sans" w:ascii="IBM Plex Sans" w:hAnsi="IBM Plex Sans"/>
        <w:color w:val="B7B7B7"/>
        <w:sz w:val="20"/>
        <w:szCs w:val="20"/>
      </w:rPr>
      <w:tab/>
      <w:tab/>
      <w:t xml:space="preserve">  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395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e6e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e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e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e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e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e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04e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04e6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04e6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04e6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04e6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04e6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04e6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04e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e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04e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04e6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04e6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04e6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04e6e"/>
    <w:rPr>
      <w:rFonts w:ascii="Arial" w:hAnsi="Arial" w:eastAsia="Arial" w:cs="Arial"/>
      <w:kern w:val="0"/>
      <w:lang w:val="ru-RU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7556"/>
    <w:rPr>
      <w:rFonts w:ascii="Arial" w:hAnsi="Arial" w:eastAsia="Arial" w:cs="Arial"/>
      <w:kern w:val="0"/>
      <w:lang w:val="ru-RU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058d"/>
    <w:rPr>
      <w:rFonts w:ascii="Consolas" w:hAnsi="Consolas" w:eastAsia="Arial" w:cs="Arial"/>
      <w:kern w:val="0"/>
      <w:sz w:val="20"/>
      <w:szCs w:val="20"/>
      <w:lang w:val="ru-RU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5c4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04e6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e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04e6e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c04e6e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4e6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LO-normal" w:customStyle="1">
    <w:name w:val="LO-normal"/>
    <w:qFormat/>
    <w:rsid w:val="00c04e6e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7556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058d"/>
    <w:pPr>
      <w:spacing w:lineRule="auto" w:line="240"/>
    </w:pPr>
    <w:rPr>
      <w:rFonts w:ascii="Consolas" w:hAnsi="Consola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e6e"/>
    <w:pPr>
      <w:spacing w:after="0" w:line="240" w:lineRule="auto"/>
    </w:pPr>
    <w:rPr>
      <w:lang w:val="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goffice.senla.eu/" TargetMode="External"/><Relationship Id="rId4" Type="http://schemas.openxmlformats.org/officeDocument/2006/relationships/hyperlink" Target="https://regoffice.senla.eu/swagger/" TargetMode="External"/><Relationship Id="rId5" Type="http://schemas.openxmlformats.org/officeDocument/2006/relationships/hyperlink" Target="https://regoffice.senla.eu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LibreOffice/24.2.6.2$Linux_X86_64 LibreOffice_project/420$Build-2</Application>
  <AppVersion>15.0000</AppVersion>
  <Pages>8</Pages>
  <Words>444</Words>
  <Characters>3612</Characters>
  <CharactersWithSpaces>3944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2024-10-24T15:08:00Z</dcterms:created>
  <dc:creator>Aliaksandr Yaravy</dc:creator>
  <dc:description/>
  <dc:language>ru-RU</dc:language>
  <cp:lastModifiedBy/>
  <dcterms:modified xsi:type="dcterms:W3CDTF">2024-12-05T11:37:23Z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