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247" w:lineRule="auto"/>
        <w:jc w:val="center"/>
      </w:pPr>
      <w:r>
        <w:rPr>
          <w:rFonts w:ascii="Arial" w:hAnsi="Arial" w:eastAsia="Arial"/>
          <w:b/>
          <w:color w:val="1F4E79"/>
          <w:sz w:val="30"/>
        </w:rPr>
        <w:t>Problem Specification / Project Plan</w:t>
      </w:r>
    </w:p>
    <w:p>
      <w:pPr>
        <w:spacing w:before="0" w:after="60" w:line="247" w:lineRule="auto"/>
      </w:pPr>
      <w:r>
        <w:rPr>
          <w:b/>
        </w:rPr>
        <w:t>Project Title:</w:t>
      </w:r>
      <w:r>
        <w:t xml:space="preserve"> Temporal Exploit Prediction - Modeling Public CVE Weaponization Timelines</w:t>
      </w:r>
    </w:p>
    <w:p>
      <w:pPr>
        <w:spacing w:before="0" w:after="60" w:line="247" w:lineRule="auto"/>
      </w:pPr>
      <w:r>
        <w:rPr>
          <w:b/>
        </w:rPr>
        <w:t>Student Name:</w:t>
      </w:r>
      <w:r>
        <w:t xml:space="preserve"> [Your Name]</w:t>
      </w:r>
    </w:p>
    <w:p>
      <w:pPr>
        <w:spacing w:before="0" w:after="60" w:line="247" w:lineRule="auto"/>
      </w:pPr>
      <w:r>
        <w:rPr>
          <w:b/>
        </w:rPr>
        <w:t>Student ID:</w:t>
      </w:r>
      <w:r>
        <w:t xml:space="preserve"> [Your Student ID]</w:t>
      </w:r>
    </w:p>
    <w:p>
      <w:pPr>
        <w:spacing w:before="0" w:after="60" w:line="247" w:lineRule="auto"/>
      </w:pPr>
      <w:r>
        <w:rPr>
          <w:b/>
        </w:rPr>
        <w:t>Project Supervisor Name:</w:t>
      </w:r>
      <w:r>
        <w:t xml:space="preserve"> [Supervisor Name]</w:t>
      </w:r>
    </w:p>
    <w:p>
      <w:pPr>
        <w:pStyle w:val="Heading1"/>
        <w:spacing w:before="100" w:after="20" w:line="247" w:lineRule="auto"/>
      </w:pPr>
      <w:r>
        <w:t>Introduction</w:t>
      </w:r>
    </w:p>
    <w:p>
      <w:pPr>
        <w:pStyle w:val="Heading2"/>
        <w:spacing w:before="40" w:after="20" w:line="247" w:lineRule="auto"/>
      </w:pPr>
      <w:r>
        <w:t>1.1 Project Overview</w:t>
      </w:r>
    </w:p>
    <w:p>
      <w:pPr>
        <w:spacing w:before="0" w:after="60" w:line="247" w:lineRule="auto"/>
      </w:pPr>
      <w:r>
        <w:t>This project investigates how long it takes for a publicly disclosed CVE to accumulate public weaponization signals. Rather than treating exploitation as a single binary label, the project models a timeline of observable states: proof-of-concept publication, Metasploit module availability, Nuclei template availability, and confirmed in-the-wild exploitation through CISA KEV or Google Project Zero 0-day records. The work uses the existing project handover dataset, which contains extracted and enriched parquet files covering CVE metadata, dated exploitation signals, EPSS history, and MITRE CWE-CAPEC-ATT&amp;CK mappings.</w:t>
      </w:r>
    </w:p>
    <w:p>
      <w:pPr>
        <w:spacing w:before="0" w:after="60" w:line="247" w:lineRule="auto"/>
      </w:pPr>
      <w:r>
        <w:t>The significance is practical and research-oriented. Security teams need to know not only whether a vulnerability is severe, but when public exploitation capability is likely to appear. A CVE with public PoC code within days requires different remediation urgency from one that remains unweaponized for months. The project will therefore produce survival-analysis models and multi-horizon risk estimates for 7, 30, 90, and 180 days after publication.</w:t>
      </w:r>
    </w:p>
    <w:p>
      <w:pPr>
        <w:pStyle w:val="Heading2"/>
        <w:spacing w:before="40" w:after="20" w:line="247" w:lineRule="auto"/>
      </w:pPr>
      <w:r>
        <w:t>1.2 Objectives</w:t>
      </w:r>
    </w:p>
    <w:p>
      <w:pPr>
        <w:pStyle w:val="ListParagraph"/>
        <w:spacing w:before="0" w:after="40" w:line="247" w:lineRule="auto"/>
        <w:ind w:left="317" w:hanging="173"/>
      </w:pPr>
      <w:r>
        <w:rPr>
          <w:b/>
        </w:rPr>
        <w:t xml:space="preserve">Objective 1: </w:t>
      </w:r>
      <w:r>
        <w:t>Construct a reproducible modeling dataset from the nine handover parquets while preserving event provenance and censoring information.</w:t>
      </w:r>
    </w:p>
    <w:p>
      <w:pPr>
        <w:pStyle w:val="ListParagraph"/>
        <w:spacing w:before="0" w:after="40" w:line="247" w:lineRule="auto"/>
        <w:ind w:left="317" w:hanging="173"/>
      </w:pPr>
      <w:r>
        <w:rPr>
          <w:b/>
        </w:rPr>
        <w:t xml:space="preserve">Objective 2: </w:t>
      </w:r>
      <w:r>
        <w:t>Define defensible time-to-event labels for first public weaponization and event-specific timelines for PoC, Metasploit, Nuclei, and confirmed in-wild signals.</w:t>
      </w:r>
    </w:p>
    <w:p>
      <w:pPr>
        <w:pStyle w:val="ListParagraph"/>
        <w:spacing w:before="0" w:after="40" w:line="247" w:lineRule="auto"/>
        <w:ind w:left="317" w:hanging="173"/>
      </w:pPr>
      <w:r>
        <w:rPr>
          <w:b/>
        </w:rPr>
        <w:t xml:space="preserve">Objective 3: </w:t>
      </w:r>
      <w:r>
        <w:t>Build leakage-safe publication-time features from CVSS, CWE, affected vendor/product metadata, ATT&amp;CK mappings, and EPSS-at-publication where available.</w:t>
      </w:r>
    </w:p>
    <w:p>
      <w:pPr>
        <w:pStyle w:val="ListParagraph"/>
        <w:spacing w:before="0" w:after="40" w:line="247" w:lineRule="auto"/>
        <w:ind w:left="317" w:hanging="173"/>
      </w:pPr>
      <w:r>
        <w:rPr>
          <w:b/>
        </w:rPr>
        <w:t xml:space="preserve">Objective 4: </w:t>
      </w:r>
      <w:r>
        <w:t>Train and evaluate baseline survival models, including Kaplan-Meier curves and Cox proportional hazards models.</w:t>
      </w:r>
    </w:p>
    <w:p>
      <w:pPr>
        <w:pStyle w:val="ListParagraph"/>
        <w:spacing w:before="0" w:after="40" w:line="247" w:lineRule="auto"/>
        <w:ind w:left="317" w:hanging="173"/>
      </w:pPr>
      <w:r>
        <w:rPr>
          <w:b/>
        </w:rPr>
        <w:t xml:space="preserve">Objective 5: </w:t>
      </w:r>
      <w:r>
        <w:t>Develop a stronger main model using discrete-time survival learning with event-specific risk outputs at 7, 30, 90, and 180 days.</w:t>
      </w:r>
    </w:p>
    <w:p>
      <w:pPr>
        <w:pStyle w:val="ListParagraph"/>
        <w:spacing w:before="0" w:after="40" w:line="247" w:lineRule="auto"/>
        <w:ind w:left="317" w:hanging="173"/>
      </w:pPr>
      <w:r>
        <w:rPr>
          <w:b/>
        </w:rPr>
        <w:t xml:space="preserve">Objective 6: </w:t>
      </w:r>
      <w:r>
        <w:t>Compare model outputs against EPSS to identify cases where public weaponization timing and EPSS in-wild exploitation probability agree or diverge.</w:t>
      </w:r>
    </w:p>
    <w:p>
      <w:pPr>
        <w:pStyle w:val="ListParagraph"/>
        <w:spacing w:before="0" w:after="40" w:line="247" w:lineRule="auto"/>
        <w:ind w:left="317" w:hanging="173"/>
      </w:pPr>
      <w:r>
        <w:rPr>
          <w:b/>
        </w:rPr>
        <w:t xml:space="preserve">Objective 7: </w:t>
      </w:r>
      <w:r>
        <w:t>Produce auditable artifacts suitable for future research or production release, including schema validation, feature provenance, locked time-based splits, and model evaluation reports.</w:t>
      </w:r>
    </w:p>
    <w:p>
      <w:pPr>
        <w:pStyle w:val="Heading1"/>
        <w:spacing w:before="100" w:after="20" w:line="247" w:lineRule="auto"/>
      </w:pPr>
      <w:r>
        <w:t>Problem Specification</w:t>
      </w:r>
    </w:p>
    <w:p>
      <w:pPr>
        <w:pStyle w:val="Heading2"/>
        <w:spacing w:before="40" w:after="20" w:line="247" w:lineRule="auto"/>
      </w:pPr>
      <w:r>
        <w:t>2.1 Background and Context</w:t>
      </w:r>
    </w:p>
    <w:p>
      <w:pPr>
        <w:spacing w:before="0" w:after="60" w:line="247" w:lineRule="auto"/>
      </w:pPr>
      <w:r>
        <w:t>Vulnerability prioritization traditionally relies on severity scores such as CVSS and on probability systems such as EPSS. CVSS captures technical severity, while EPSS estimates the probability that a published CVE will be exploited in the wild within a future window. These tools are valuable, but they do not directly answer the timing question central to this project: when does public exploitation capability become available after disclosure?</w:t>
      </w:r>
    </w:p>
    <w:p>
      <w:pPr>
        <w:spacing w:before="0" w:after="60" w:line="247" w:lineRule="auto"/>
      </w:pPr>
      <w:r>
        <w:t>The project dataset was created to answer this timing question. It includes a CVE corpus with publication dates and vulnerability metadata, dated CISA KEV events, inferred Metasploit first-seen dates from git history, Nuclei template dates, public PoC dates from Trickest and Nomi-sec repositories, Google Project Zero 0-day records, daily EPSS history, MITRE technique mappings, and VRS feed-presence flags. The existing extraction code also documents major methodological cautions, especially temporal leakage, informative censoring, and PoC dominance in the event distribution.</w:t>
      </w:r>
    </w:p>
    <w:p>
      <w:pPr>
        <w:pStyle w:val="Heading2"/>
        <w:spacing w:before="40" w:after="20" w:line="247" w:lineRule="auto"/>
      </w:pPr>
      <w:r>
        <w:t>2.2 Problem Domain</w:t>
      </w:r>
    </w:p>
    <w:p>
      <w:pPr>
        <w:spacing w:before="0" w:after="60" w:line="247" w:lineRule="auto"/>
      </w:pPr>
      <w:r>
        <w:t>The domain is vulnerability intelligence and time-to-event machine learning. The central challenge is that weaponization is not a clean single event. Public PoC publication, scanner template availability, Metasploit module availability, and confirmed in-wild exploitation measure different stages of the exploitation pipeline. They differ in severity, operational meaning, frequency, and data quality.</w:t>
      </w:r>
    </w:p>
    <w:p>
      <w:pPr>
        <w:pStyle w:val="ListParagraph"/>
        <w:spacing w:before="0" w:after="40" w:line="247" w:lineRule="auto"/>
        <w:ind w:left="317" w:hanging="173"/>
      </w:pPr>
      <w:r>
        <w:rPr>
          <w:b/>
        </w:rPr>
        <w:t xml:space="preserve">Challenge 1: </w:t>
      </w:r>
      <w:r>
        <w:t>PoC events dominate the available labels, so the project must avoid claiming that all observed events are confirmed exploitation in the wild.</w:t>
      </w:r>
    </w:p>
    <w:p>
      <w:pPr>
        <w:pStyle w:val="ListParagraph"/>
        <w:spacing w:before="0" w:after="40" w:line="247" w:lineRule="auto"/>
        <w:ind w:left="317" w:hanging="173"/>
      </w:pPr>
      <w:r>
        <w:rPr>
          <w:b/>
        </w:rPr>
        <w:t xml:space="preserve">Challenge 2: </w:t>
      </w:r>
      <w:r>
        <w:t>Censoring is informative: a CVE without an observed event is not necessarily safe; it may simply be unmonitored, low-profile, or absent from the selected feeds.</w:t>
      </w:r>
    </w:p>
    <w:p>
      <w:pPr>
        <w:pStyle w:val="ListParagraph"/>
        <w:spacing w:before="0" w:after="40" w:line="247" w:lineRule="auto"/>
        <w:ind w:left="317" w:hanging="173"/>
      </w:pPr>
      <w:r>
        <w:rPr>
          <w:b/>
        </w:rPr>
        <w:t xml:space="preserve">Challenge 3: </w:t>
      </w:r>
      <w:r>
        <w:t>Some features are dangerous because they are observed after publication, such as snapshot-time feed flags or current descriptions that may mention KEV or active exploitation.</w:t>
      </w:r>
    </w:p>
    <w:p>
      <w:pPr>
        <w:pStyle w:val="ListParagraph"/>
        <w:spacing w:before="0" w:after="40" w:line="247" w:lineRule="auto"/>
        <w:ind w:left="317" w:hanging="173"/>
      </w:pPr>
      <w:r>
        <w:rPr>
          <w:b/>
        </w:rPr>
        <w:t xml:space="preserve">Challenge 4: </w:t>
      </w:r>
      <w:r>
        <w:t>A random train/test split would leak temporal trends. The project requires a time-based split so evaluation resembles future deployment.</w:t>
      </w:r>
    </w:p>
    <w:p>
      <w:pPr>
        <w:pStyle w:val="ListParagraph"/>
        <w:spacing w:before="0" w:after="40" w:line="247" w:lineRule="auto"/>
        <w:ind w:left="317" w:hanging="173"/>
      </w:pPr>
      <w:r>
        <w:rPr>
          <w:b/>
        </w:rPr>
        <w:t xml:space="preserve">Challenge 5: </w:t>
      </w:r>
      <w:r>
        <w:t>Sparse confirmed exploitation labels mean KEV and Google 0-day should be modeled carefully, either as a separate endpoint or as one state in a wider weaponization process.</w:t>
      </w:r>
    </w:p>
    <w:p>
      <w:pPr>
        <w:pStyle w:val="Heading1"/>
        <w:spacing w:before="100" w:after="20" w:line="247" w:lineRule="auto"/>
      </w:pPr>
      <w:r>
        <w:t>Research Methods and AI Algorithms</w:t>
      </w:r>
    </w:p>
    <w:p>
      <w:pPr>
        <w:spacing w:before="0" w:after="60" w:line="247" w:lineRule="auto"/>
      </w:pPr>
      <w:r>
        <w:t>The project will use a staged research method. First, exploratory data analysis will quantify event-source composition, censoring, negative durations, and timing distributions. Kaplan-Meier curves will establish the non-parametric baseline survival behavior for time to first weaponization and for each event type. A time-based train/test split will be locked before model selection to reduce evaluation leakage.</w:t>
      </w:r>
    </w:p>
    <w:p>
      <w:pPr>
        <w:spacing w:before="0" w:after="60" w:line="247" w:lineRule="auto"/>
      </w:pPr>
      <w:r>
        <w:t>The initial statistical baseline will be Cox proportional hazards regression using publication-time features. This provides interpretability and a benchmark for hazard ratios, but its proportional-hazards assumption will be checked and treated as a limitation if violated. A Random Survival Forest may then be used as a stronger non-linear baseline if dependency installation and runtime are practical.</w:t>
      </w:r>
    </w:p>
    <w:p>
      <w:pPr>
        <w:spacing w:before="0" w:after="60" w:line="247" w:lineRule="auto"/>
      </w:pPr>
      <w:r>
        <w:t>The main AI model will be a discrete-time, multi-task survival model. It will use shared tabular representations and event-specific output heads for PoC, Metasploit, Nuclei, and confirmed in-wild signals. The model will predict cumulative risk at operational horizons of 7, 30, 90, and 180 days. This architecture is appropriate because the problem is censored, time-dependent, non-linear, and multi-state rather than a simple binary classification problem.</w:t>
      </w:r>
    </w:p>
    <w:p>
      <w:pPr>
        <w:spacing w:before="0" w:after="60" w:line="247" w:lineRule="auto"/>
      </w:pPr>
      <w:r>
        <w:t>Model evaluation will include event rates by horizon, time-dependent discrimination metrics where available, Brier score/calibration at fixed horizons, and source-specific analysis. EPSS will be used both as a feature at publication time and as an external comparator for the 30-day horizon. The project will avoid using snapshot-time EPSS or feed-presence values as predictors for historical events unless the prediction setting is explicitly reframed.</w:t>
      </w:r>
    </w:p>
    <w:p>
      <w:pPr>
        <w:pStyle w:val="Heading1"/>
        <w:spacing w:before="100" w:after="20" w:line="247" w:lineRule="auto"/>
      </w:pPr>
      <w:r>
        <w:t>Anticipated Results</w:t>
      </w:r>
    </w:p>
    <w:p>
      <w:pPr>
        <w:spacing w:before="0" w:after="60" w:line="247" w:lineRule="auto"/>
      </w:pPr>
      <w:r>
        <w:t>The anticipated result is a reproducible modeling pipeline and a dissertation-ready analysis of CVE public weaponization timing. The project is expected to produce clean survival labels, leakage-safe feature sets, baseline survival curves, interpretable Cox results, and a stronger multi-horizon model capable of estimating when different public weaponization states are likely to appear.</w:t>
      </w:r>
    </w:p>
    <w:p>
      <w:pPr>
        <w:spacing w:before="0" w:after="60" w:line="247" w:lineRule="auto"/>
      </w:pPr>
      <w:r>
        <w:t>The expected contribution is not simply a new score that competes with EPSS. The intended contribution is a lifecycle view: EPSS estimates in-wild exploitation probability, while this project characterizes the upstream process through which public exploit capability accumulates. In real-world vulnerability management, this could support patch triage by identifying CVEs likely to receive public PoCs, scanner templates, or framework modules soon after disclosure. The production-facing outcome will include auditable artifacts such as feature provenance, schema checks, locked splits, artifact manifests, and evaluation reports.</w:t>
      </w:r>
    </w:p>
    <w:p>
      <w:pPr>
        <w:pStyle w:val="Heading1"/>
        <w:spacing w:before="100" w:after="20" w:line="247" w:lineRule="auto"/>
      </w:pPr>
      <w:r>
        <w:t>Project Plan and Timeline</w:t>
      </w:r>
    </w:p>
    <w:p>
      <w:pPr>
        <w:spacing w:before="0" w:after="60" w:line="247" w:lineRule="auto"/>
      </w:pPr>
      <w:r>
        <w:t>The project will be delivered over approximately three months. The Gantt-style plan below is organized around reproducible research milestones rather than notebook-only experimentation.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72"/>
        <w:gridCol w:w="1372"/>
        <w:gridCol w:w="1372"/>
        <w:gridCol w:w="1372"/>
        <w:gridCol w:w="1372"/>
        <w:gridCol w:w="1372"/>
        <w:gridCol w:w="1372"/>
      </w:tblGrid>
      <w:tr>
        <w:tc>
          <w:tcPr>
            <w:tcW w:type="dxa" w:w="1372"/>
            <w:vAlign w:val="center"/>
            <w:shd w:fill="1F4E79"/>
          </w:tcPr>
          <w:p>
            <w:pPr>
              <w:jc w:val="center"/>
            </w:pPr>
            <w:r/>
            <w:r>
              <w:rPr>
                <w:rFonts w:ascii="Arial" w:hAnsi="Arial" w:eastAsia="Arial"/>
                <w:b/>
                <w:color w:val="FFFFFF"/>
                <w:sz w:val="15"/>
              </w:rPr>
              <w:t>Phase</w:t>
            </w:r>
          </w:p>
        </w:tc>
        <w:tc>
          <w:tcPr>
            <w:tcW w:type="dxa" w:w="1372"/>
            <w:vAlign w:val="center"/>
            <w:shd w:fill="1F4E79"/>
          </w:tcPr>
          <w:p>
            <w:pPr>
              <w:jc w:val="center"/>
            </w:pPr>
            <w:r/>
            <w:r>
              <w:rPr>
                <w:rFonts w:ascii="Arial" w:hAnsi="Arial" w:eastAsia="Arial"/>
                <w:b/>
                <w:color w:val="FFFFFF"/>
                <w:sz w:val="15"/>
              </w:rPr>
              <w:t>W1-2</w:t>
            </w:r>
          </w:p>
        </w:tc>
        <w:tc>
          <w:tcPr>
            <w:tcW w:type="dxa" w:w="1372"/>
            <w:vAlign w:val="center"/>
            <w:shd w:fill="1F4E79"/>
          </w:tcPr>
          <w:p>
            <w:pPr>
              <w:jc w:val="center"/>
            </w:pPr>
            <w:r/>
            <w:r>
              <w:rPr>
                <w:rFonts w:ascii="Arial" w:hAnsi="Arial" w:eastAsia="Arial"/>
                <w:b/>
                <w:color w:val="FFFFFF"/>
                <w:sz w:val="15"/>
              </w:rPr>
              <w:t>W3-4</w:t>
            </w:r>
          </w:p>
        </w:tc>
        <w:tc>
          <w:tcPr>
            <w:tcW w:type="dxa" w:w="1372"/>
            <w:vAlign w:val="center"/>
            <w:shd w:fill="1F4E79"/>
          </w:tcPr>
          <w:p>
            <w:pPr>
              <w:jc w:val="center"/>
            </w:pPr>
            <w:r/>
            <w:r>
              <w:rPr>
                <w:rFonts w:ascii="Arial" w:hAnsi="Arial" w:eastAsia="Arial"/>
                <w:b/>
                <w:color w:val="FFFFFF"/>
                <w:sz w:val="15"/>
              </w:rPr>
              <w:t>W5-6</w:t>
            </w:r>
          </w:p>
        </w:tc>
        <w:tc>
          <w:tcPr>
            <w:tcW w:type="dxa" w:w="1372"/>
            <w:vAlign w:val="center"/>
            <w:shd w:fill="1F4E79"/>
          </w:tcPr>
          <w:p>
            <w:pPr>
              <w:jc w:val="center"/>
            </w:pPr>
            <w:r/>
            <w:r>
              <w:rPr>
                <w:rFonts w:ascii="Arial" w:hAnsi="Arial" w:eastAsia="Arial"/>
                <w:b/>
                <w:color w:val="FFFFFF"/>
                <w:sz w:val="15"/>
              </w:rPr>
              <w:t>W7-8</w:t>
            </w:r>
          </w:p>
        </w:tc>
        <w:tc>
          <w:tcPr>
            <w:tcW w:type="dxa" w:w="1372"/>
            <w:vAlign w:val="center"/>
            <w:shd w:fill="1F4E79"/>
          </w:tcPr>
          <w:p>
            <w:pPr>
              <w:jc w:val="center"/>
            </w:pPr>
            <w:r/>
            <w:r>
              <w:rPr>
                <w:rFonts w:ascii="Arial" w:hAnsi="Arial" w:eastAsia="Arial"/>
                <w:b/>
                <w:color w:val="FFFFFF"/>
                <w:sz w:val="15"/>
              </w:rPr>
              <w:t>W9-10</w:t>
            </w:r>
          </w:p>
        </w:tc>
        <w:tc>
          <w:tcPr>
            <w:tcW w:type="dxa" w:w="1372"/>
            <w:vAlign w:val="center"/>
            <w:shd w:fill="1F4E79"/>
          </w:tcPr>
          <w:p>
            <w:pPr>
              <w:jc w:val="center"/>
            </w:pPr>
            <w:r/>
            <w:r>
              <w:rPr>
                <w:rFonts w:ascii="Arial" w:hAnsi="Arial" w:eastAsia="Arial"/>
                <w:b/>
                <w:color w:val="FFFFFF"/>
                <w:sz w:val="15"/>
              </w:rPr>
              <w:t>W11-12</w:t>
            </w:r>
          </w:p>
        </w:tc>
      </w:tr>
      <w:tr>
        <w:tc>
          <w:tcPr>
            <w:tcW w:type="dxa" w:w="1372"/>
            <w:vAlign w:val="center"/>
          </w:tcPr>
          <w:p>
            <w:pPr>
              <w:jc w:val="center"/>
            </w:pPr>
            <w:r/>
            <w:r>
              <w:rPr>
                <w:rFonts w:ascii="Arial" w:hAnsi="Arial" w:eastAsia="Arial"/>
                <w:b w:val="0"/>
                <w:sz w:val="15"/>
              </w:rPr>
              <w:t>Dataset audit and schema validation</w:t>
            </w:r>
          </w:p>
        </w:tc>
        <w:tc>
          <w:tcPr>
            <w:tcW w:type="dxa" w:w="1372"/>
            <w:vAlign w:val="center"/>
            <w:shd w:fill="D9EAF7"/>
          </w:tcPr>
          <w:p>
            <w:pPr>
              <w:jc w:val="center"/>
            </w:pPr>
            <w:r/>
            <w:r>
              <w:rPr>
                <w:rFonts w:ascii="Arial" w:hAnsi="Arial" w:eastAsia="Arial"/>
                <w:b w:val="0"/>
                <w:sz w:val="15"/>
              </w:rPr>
              <w:t>X</w:t>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r>
      <w:tr>
        <w:tc>
          <w:tcPr>
            <w:tcW w:type="dxa" w:w="1372"/>
            <w:vAlign w:val="center"/>
          </w:tcPr>
          <w:p>
            <w:pPr>
              <w:jc w:val="center"/>
            </w:pPr>
            <w:r/>
            <w:r>
              <w:rPr>
                <w:rFonts w:ascii="Arial" w:hAnsi="Arial" w:eastAsia="Arial"/>
                <w:b w:val="0"/>
                <w:sz w:val="15"/>
              </w:rPr>
              <w:t>Label construction and leakage-safe features</w:t>
            </w:r>
          </w:p>
        </w:tc>
        <w:tc>
          <w:tcPr>
            <w:tcW w:type="dxa" w:w="1372"/>
            <w:vAlign w:val="center"/>
            <w:shd w:fill="D9EAF7"/>
          </w:tcPr>
          <w:p>
            <w:pPr>
              <w:jc w:val="center"/>
            </w:pPr>
            <w:r/>
            <w:r>
              <w:rPr>
                <w:rFonts w:ascii="Arial" w:hAnsi="Arial" w:eastAsia="Arial"/>
                <w:b w:val="0"/>
                <w:sz w:val="15"/>
              </w:rPr>
              <w:t>X</w:t>
            </w:r>
          </w:p>
        </w:tc>
        <w:tc>
          <w:tcPr>
            <w:tcW w:type="dxa" w:w="1372"/>
            <w:vAlign w:val="center"/>
            <w:shd w:fill="D9EAF7"/>
          </w:tcPr>
          <w:p>
            <w:pPr>
              <w:jc w:val="center"/>
            </w:pPr>
            <w:r/>
            <w:r>
              <w:rPr>
                <w:rFonts w:ascii="Arial" w:hAnsi="Arial" w:eastAsia="Arial"/>
                <w:b w:val="0"/>
                <w:sz w:val="15"/>
              </w:rPr>
              <w:t>X</w:t>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r>
      <w:tr>
        <w:tc>
          <w:tcPr>
            <w:tcW w:type="dxa" w:w="1372"/>
            <w:vAlign w:val="center"/>
          </w:tcPr>
          <w:p>
            <w:pPr>
              <w:jc w:val="center"/>
            </w:pPr>
            <w:r/>
            <w:r>
              <w:rPr>
                <w:rFonts w:ascii="Arial" w:hAnsi="Arial" w:eastAsia="Arial"/>
                <w:b w:val="0"/>
                <w:sz w:val="15"/>
              </w:rPr>
              <w:t>EDA and Kaplan-Meier analysis</w:t>
            </w:r>
          </w:p>
        </w:tc>
        <w:tc>
          <w:tcPr>
            <w:tcW w:type="dxa" w:w="1372"/>
            <w:vAlign w:val="center"/>
          </w:tcPr>
          <w:p>
            <w:pPr>
              <w:jc w:val="center"/>
            </w:pPr>
            <w:r/>
            <w:r>
              <w:rPr>
                <w:rFonts w:ascii="Arial" w:hAnsi="Arial" w:eastAsia="Arial"/>
                <w:b w:val="0"/>
                <w:sz w:val="15"/>
              </w:rPr>
            </w:r>
          </w:p>
        </w:tc>
        <w:tc>
          <w:tcPr>
            <w:tcW w:type="dxa" w:w="1372"/>
            <w:vAlign w:val="center"/>
            <w:shd w:fill="D9EAF7"/>
          </w:tcPr>
          <w:p>
            <w:pPr>
              <w:jc w:val="center"/>
            </w:pPr>
            <w:r/>
            <w:r>
              <w:rPr>
                <w:rFonts w:ascii="Arial" w:hAnsi="Arial" w:eastAsia="Arial"/>
                <w:b w:val="0"/>
                <w:sz w:val="15"/>
              </w:rPr>
              <w:t>X</w:t>
            </w:r>
          </w:p>
        </w:tc>
        <w:tc>
          <w:tcPr>
            <w:tcW w:type="dxa" w:w="1372"/>
            <w:vAlign w:val="center"/>
            <w:shd w:fill="D9EAF7"/>
          </w:tcPr>
          <w:p>
            <w:pPr>
              <w:jc w:val="center"/>
            </w:pPr>
            <w:r/>
            <w:r>
              <w:rPr>
                <w:rFonts w:ascii="Arial" w:hAnsi="Arial" w:eastAsia="Arial"/>
                <w:b w:val="0"/>
                <w:sz w:val="15"/>
              </w:rPr>
              <w:t>X</w:t>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r>
      <w:tr>
        <w:tc>
          <w:tcPr>
            <w:tcW w:type="dxa" w:w="1372"/>
            <w:vAlign w:val="center"/>
          </w:tcPr>
          <w:p>
            <w:pPr>
              <w:jc w:val="center"/>
            </w:pPr>
            <w:r/>
            <w:r>
              <w:rPr>
                <w:rFonts w:ascii="Arial" w:hAnsi="Arial" w:eastAsia="Arial"/>
                <w:b w:val="0"/>
                <w:sz w:val="15"/>
              </w:rPr>
              <w:t>Cox PH and baseline evaluation</w:t>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shd w:fill="D9EAF7"/>
          </w:tcPr>
          <w:p>
            <w:pPr>
              <w:jc w:val="center"/>
            </w:pPr>
            <w:r/>
            <w:r>
              <w:rPr>
                <w:rFonts w:ascii="Arial" w:hAnsi="Arial" w:eastAsia="Arial"/>
                <w:b w:val="0"/>
                <w:sz w:val="15"/>
              </w:rPr>
              <w:t>X</w:t>
            </w:r>
          </w:p>
        </w:tc>
        <w:tc>
          <w:tcPr>
            <w:tcW w:type="dxa" w:w="1372"/>
            <w:vAlign w:val="center"/>
            <w:shd w:fill="D9EAF7"/>
          </w:tcPr>
          <w:p>
            <w:pPr>
              <w:jc w:val="center"/>
            </w:pPr>
            <w:r/>
            <w:r>
              <w:rPr>
                <w:rFonts w:ascii="Arial" w:hAnsi="Arial" w:eastAsia="Arial"/>
                <w:b w:val="0"/>
                <w:sz w:val="15"/>
              </w:rPr>
              <w:t>X</w:t>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r>
      <w:tr>
        <w:tc>
          <w:tcPr>
            <w:tcW w:type="dxa" w:w="1372"/>
            <w:vAlign w:val="center"/>
          </w:tcPr>
          <w:p>
            <w:pPr>
              <w:jc w:val="center"/>
            </w:pPr>
            <w:r/>
            <w:r>
              <w:rPr>
                <w:rFonts w:ascii="Arial" w:hAnsi="Arial" w:eastAsia="Arial"/>
                <w:b w:val="0"/>
                <w:sz w:val="15"/>
              </w:rPr>
              <w:t>Main discrete-time survival model</w:t>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shd w:fill="D9EAF7"/>
          </w:tcPr>
          <w:p>
            <w:pPr>
              <w:jc w:val="center"/>
            </w:pPr>
            <w:r/>
            <w:r>
              <w:rPr>
                <w:rFonts w:ascii="Arial" w:hAnsi="Arial" w:eastAsia="Arial"/>
                <w:b w:val="0"/>
                <w:sz w:val="15"/>
              </w:rPr>
              <w:t>X</w:t>
            </w:r>
          </w:p>
        </w:tc>
        <w:tc>
          <w:tcPr>
            <w:tcW w:type="dxa" w:w="1372"/>
            <w:vAlign w:val="center"/>
            <w:shd w:fill="D9EAF7"/>
          </w:tcPr>
          <w:p>
            <w:pPr>
              <w:jc w:val="center"/>
            </w:pPr>
            <w:r/>
            <w:r>
              <w:rPr>
                <w:rFonts w:ascii="Arial" w:hAnsi="Arial" w:eastAsia="Arial"/>
                <w:b w:val="0"/>
                <w:sz w:val="15"/>
              </w:rPr>
              <w:t>X</w:t>
            </w:r>
          </w:p>
        </w:tc>
        <w:tc>
          <w:tcPr>
            <w:tcW w:type="dxa" w:w="1372"/>
            <w:vAlign w:val="center"/>
          </w:tcPr>
          <w:p>
            <w:pPr>
              <w:jc w:val="center"/>
            </w:pPr>
            <w:r/>
            <w:r>
              <w:rPr>
                <w:rFonts w:ascii="Arial" w:hAnsi="Arial" w:eastAsia="Arial"/>
                <w:b w:val="0"/>
                <w:sz w:val="15"/>
              </w:rPr>
            </w:r>
          </w:p>
        </w:tc>
      </w:tr>
      <w:tr>
        <w:tc>
          <w:tcPr>
            <w:tcW w:type="dxa" w:w="1372"/>
            <w:vAlign w:val="center"/>
          </w:tcPr>
          <w:p>
            <w:pPr>
              <w:jc w:val="center"/>
            </w:pPr>
            <w:r/>
            <w:r>
              <w:rPr>
                <w:rFonts w:ascii="Arial" w:hAnsi="Arial" w:eastAsia="Arial"/>
                <w:b w:val="0"/>
                <w:sz w:val="15"/>
              </w:rPr>
              <w:t>EPSS comparison, write-up, final QA</w:t>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tcPr>
          <w:p>
            <w:pPr>
              <w:jc w:val="center"/>
            </w:pPr>
            <w:r/>
            <w:r>
              <w:rPr>
                <w:rFonts w:ascii="Arial" w:hAnsi="Arial" w:eastAsia="Arial"/>
                <w:b w:val="0"/>
                <w:sz w:val="15"/>
              </w:rPr>
            </w:r>
          </w:p>
        </w:tc>
        <w:tc>
          <w:tcPr>
            <w:tcW w:type="dxa" w:w="1372"/>
            <w:vAlign w:val="center"/>
            <w:shd w:fill="D9EAF7"/>
          </w:tcPr>
          <w:p>
            <w:pPr>
              <w:jc w:val="center"/>
            </w:pPr>
            <w:r/>
            <w:r>
              <w:rPr>
                <w:rFonts w:ascii="Arial" w:hAnsi="Arial" w:eastAsia="Arial"/>
                <w:b w:val="0"/>
                <w:sz w:val="15"/>
              </w:rPr>
              <w:t>X</w:t>
            </w:r>
          </w:p>
        </w:tc>
        <w:tc>
          <w:tcPr>
            <w:tcW w:type="dxa" w:w="1372"/>
            <w:vAlign w:val="center"/>
            <w:shd w:fill="D9EAF7"/>
          </w:tcPr>
          <w:p>
            <w:pPr>
              <w:jc w:val="center"/>
            </w:pPr>
            <w:r/>
            <w:r>
              <w:rPr>
                <w:rFonts w:ascii="Arial" w:hAnsi="Arial" w:eastAsia="Arial"/>
                <w:b w:val="0"/>
                <w:sz w:val="15"/>
              </w:rPr>
              <w:t>X</w:t>
            </w:r>
          </w:p>
        </w:tc>
      </w:tr>
    </w:tbl>
    <w:p>
      <w:pPr>
        <w:pStyle w:val="Heading1"/>
        <w:spacing w:before="100" w:after="20" w:line="247" w:lineRule="auto"/>
      </w:pPr>
      <w:r>
        <w:t>Hardware and Software Resources to be used within the project:</w:t>
      </w:r>
    </w:p>
    <w:p>
      <w:pPr>
        <w:spacing w:before="0" w:after="60" w:line="247" w:lineRule="auto"/>
      </w:pPr>
      <w:r>
        <w:t>Hardware requirements are modest for the baseline phase: a standard laptop or workstation with sufficient disk space for parquet datasets and derived artifacts. The EPSS history file is large, so local storage management is important. If deep learning models are added, GPU access would be useful but is not mandatory for a tabular discrete-time model at prototype scale.</w:t>
      </w:r>
    </w:p>
    <w:p>
      <w:pPr>
        <w:pStyle w:val="ListParagraph"/>
        <w:spacing w:before="0" w:after="40" w:line="247" w:lineRule="auto"/>
        <w:ind w:left="317" w:hanging="173"/>
      </w:pPr>
      <w:r>
        <w:rPr>
          <w:b/>
        </w:rPr>
        <w:t xml:space="preserve">Resource 1: </w:t>
      </w:r>
      <w:r>
        <w:t>Python 3.12+ with pandas, pyarrow, numpy, scikit-learn, lifelines, pytest, matplotlib, and seaborn.</w:t>
      </w:r>
    </w:p>
    <w:p>
      <w:pPr>
        <w:pStyle w:val="ListParagraph"/>
        <w:spacing w:before="0" w:after="40" w:line="247" w:lineRule="auto"/>
        <w:ind w:left="317" w:hanging="173"/>
      </w:pPr>
      <w:r>
        <w:rPr>
          <w:b/>
        </w:rPr>
        <w:t xml:space="preserve">Resource 2: </w:t>
      </w:r>
      <w:r>
        <w:t>Optional modeling libraries: scikit-survival for survival metrics and random survival forests; pycox/PyTorch for discrete-time neural survival models.</w:t>
      </w:r>
    </w:p>
    <w:p>
      <w:pPr>
        <w:pStyle w:val="ListParagraph"/>
        <w:spacing w:before="0" w:after="40" w:line="247" w:lineRule="auto"/>
        <w:ind w:left="317" w:hanging="173"/>
      </w:pPr>
      <w:r>
        <w:rPr>
          <w:b/>
        </w:rPr>
        <w:t xml:space="preserve">Resource 3: </w:t>
      </w:r>
      <w:r>
        <w:t>Git and GitHub for version control, reproducibility, and project tracking.</w:t>
      </w:r>
    </w:p>
    <w:p>
      <w:pPr>
        <w:pStyle w:val="ListParagraph"/>
        <w:spacing w:before="0" w:after="40" w:line="247" w:lineRule="auto"/>
        <w:ind w:left="317" w:hanging="173"/>
      </w:pPr>
      <w:r>
        <w:rPr>
          <w:b/>
        </w:rPr>
        <w:t xml:space="preserve">Resource 4: </w:t>
      </w:r>
      <w:r>
        <w:t>Existing project parquets under dataset_extraction/out and the large EPSS history parquet as local data artifacts, not committed to Git.</w:t>
      </w:r>
    </w:p>
    <w:p>
      <w:pPr>
        <w:pStyle w:val="ListParagraph"/>
        <w:spacing w:before="0" w:after="40" w:line="247" w:lineRule="auto"/>
        <w:ind w:left="317" w:hanging="173"/>
      </w:pPr>
      <w:r>
        <w:rPr>
          <w:b/>
        </w:rPr>
        <w:t xml:space="preserve">Resource 5: </w:t>
      </w:r>
      <w:r>
        <w:t>Word/Google Docs-compatible tooling for final report writing and visual outputs.</w:t>
      </w:r>
    </w:p>
    <w:p>
      <w:pPr>
        <w:pStyle w:val="Heading1"/>
        <w:spacing w:before="100" w:after="20" w:line="247" w:lineRule="auto"/>
      </w:pPr>
      <w:r>
        <w:t>Risk Management</w:t>
      </w:r>
    </w:p>
    <w:p>
      <w:pPr>
        <w:pStyle w:val="ListParagraph"/>
        <w:spacing w:before="0" w:after="40" w:line="247" w:lineRule="auto"/>
        <w:ind w:left="317" w:hanging="173"/>
      </w:pPr>
      <w:r>
        <w:rPr>
          <w:b/>
        </w:rPr>
        <w:t xml:space="preserve">Risk 1: </w:t>
      </w:r>
      <w:r>
        <w:t>Temporal leakage: prevent by using only publication-time features for the primary predictive setting and documenting any post-publication feature experiments separately.</w:t>
      </w:r>
    </w:p>
    <w:p>
      <w:pPr>
        <w:pStyle w:val="ListParagraph"/>
        <w:spacing w:before="0" w:after="40" w:line="247" w:lineRule="auto"/>
        <w:ind w:left="317" w:hanging="173"/>
      </w:pPr>
      <w:r>
        <w:rPr>
          <w:b/>
        </w:rPr>
        <w:t xml:space="preserve">Risk 2: </w:t>
      </w:r>
      <w:r>
        <w:t>PoC label dominance: report event-source composition and avoid overclaiming that the model predicts confirmed in-wild exploitation.</w:t>
      </w:r>
    </w:p>
    <w:p>
      <w:pPr>
        <w:pStyle w:val="ListParagraph"/>
        <w:spacing w:before="0" w:after="40" w:line="247" w:lineRule="auto"/>
        <w:ind w:left="317" w:hanging="173"/>
      </w:pPr>
      <w:r>
        <w:rPr>
          <w:b/>
        </w:rPr>
        <w:t xml:space="preserve">Risk 3: </w:t>
      </w:r>
      <w:r>
        <w:t>Informative censoring: discuss as a methodological limitation and use survival methods that explicitly represent censored observations.</w:t>
      </w:r>
    </w:p>
    <w:p>
      <w:pPr>
        <w:pStyle w:val="ListParagraph"/>
        <w:spacing w:before="0" w:after="40" w:line="247" w:lineRule="auto"/>
        <w:ind w:left="317" w:hanging="173"/>
      </w:pPr>
      <w:r>
        <w:rPr>
          <w:b/>
        </w:rPr>
        <w:t xml:space="preserve">Risk 4: </w:t>
      </w:r>
      <w:r>
        <w:t>Schema drift or mismatched parquet columns: mitigate with schema validation, clear error messages, and artifact manifests.</w:t>
      </w:r>
    </w:p>
    <w:p>
      <w:pPr>
        <w:pStyle w:val="ListParagraph"/>
        <w:spacing w:before="0" w:after="40" w:line="247" w:lineRule="auto"/>
        <w:ind w:left="317" w:hanging="173"/>
      </w:pPr>
      <w:r>
        <w:rPr>
          <w:b/>
        </w:rPr>
        <w:t xml:space="preserve">Risk 5: </w:t>
      </w:r>
      <w:r>
        <w:t>Large data volume: use parquet predicate pushdown, focused feature extraction, and avoid loading full EPSS history unless necessary.</w:t>
      </w:r>
    </w:p>
    <w:p>
      <w:pPr>
        <w:pStyle w:val="ListParagraph"/>
        <w:spacing w:before="0" w:after="40" w:line="247" w:lineRule="auto"/>
        <w:ind w:left="317" w:hanging="173"/>
      </w:pPr>
      <w:r>
        <w:rPr>
          <w:b/>
        </w:rPr>
        <w:t xml:space="preserve">Risk 6: </w:t>
      </w:r>
      <w:r>
        <w:t>Model overfitting: use locked time-based splits, simple baselines, calibration checks, and avoid selecting models only by one metric.</w:t>
      </w:r>
    </w:p>
    <w:p>
      <w:pPr>
        <w:pStyle w:val="ListParagraph"/>
        <w:spacing w:before="0" w:after="40" w:line="247" w:lineRule="auto"/>
        <w:ind w:left="317" w:hanging="173"/>
      </w:pPr>
      <w:r>
        <w:rPr>
          <w:b/>
        </w:rPr>
        <w:t xml:space="preserve">Risk 7: </w:t>
      </w:r>
      <w:r>
        <w:t>Dependency/runtime issues: keep a minimal baseline path using pandas/lifelines and treat heavier deep learning libraries as an optional phase.</w:t>
      </w:r>
    </w:p>
    <w:p>
      <w:pPr>
        <w:pStyle w:val="Heading1"/>
        <w:spacing w:before="100" w:after="20" w:line="247" w:lineRule="auto"/>
      </w:pPr>
      <w:r>
        <w:t>References (Use IEEE Style):</w:t>
      </w:r>
    </w:p>
    <w:p>
      <w:pPr>
        <w:spacing w:before="0" w:after="60" w:line="247" w:lineRule="auto"/>
      </w:pPr>
      <w:r>
        <w:t>[1] J. Jacobs, S. Romanosky, B. Edwards, M. Roytman, and I. Adjerid, "Exploit Prediction Scoring System (EPSS)," arXiv:1908.04856, 2019.</w:t>
      </w:r>
    </w:p>
    <w:p>
      <w:pPr>
        <w:spacing w:before="0" w:after="60" w:line="247" w:lineRule="auto"/>
      </w:pPr>
      <w:r>
        <w:t>[2] O. Suciu, C. Nelson, Z. Lyu, T. Bao, and T. Dumitras, "Expected Exploitability: Predicting the Development of Functional Vulnerability Exploits," arXiv:2102.07869, 2021.</w:t>
      </w:r>
    </w:p>
    <w:p>
      <w:pPr>
        <w:spacing w:before="0" w:after="60" w:line="247" w:lineRule="auto"/>
      </w:pPr>
      <w:r>
        <w:t>[3] B. L. Bullough, A. K. Yanchenko, C. L. Smith, and J. R. Zipkin, "Predicting Exploitation of Disclosed Software Vulnerabilities Using Open-source Data," arXiv:1707.08015, 2017.</w:t>
      </w:r>
    </w:p>
    <w:p>
      <w:pPr>
        <w:spacing w:before="0" w:after="60" w:line="247" w:lineRule="auto"/>
      </w:pPr>
      <w:r>
        <w:t>[4] H. Ishwaran, U. B. Kogalur, E. H. Blackstone, and M. S. Lauer, "Random Survival Forests," arXiv:0811.1645, 2008.</w:t>
      </w:r>
    </w:p>
    <w:p>
      <w:pPr>
        <w:spacing w:before="0" w:after="60" w:line="247" w:lineRule="auto"/>
      </w:pPr>
      <w:r>
        <w:t>[5] J. Lee, M. Zame, J. Yoon, and M. van der Schaar, "DeepHit: A Deep Learning Approach to Survival Analysis with Competing Risks," AAAI, 2018.</w:t>
      </w:r>
    </w:p>
    <w:p>
      <w:pPr>
        <w:spacing w:before="0" w:after="60" w:line="247" w:lineRule="auto"/>
      </w:pPr>
      <w:r>
        <w:t>[6] FIRST.Org, "Exploit Prediction Scoring System (EPSS)," FIRST EPSS Special Interest Group, 2026. [Online]. Available: https://www.first.org/epss/</w:t>
      </w:r>
    </w:p>
    <w:sectPr w:rsidR="00670268" w:rsidRPr="00195525">
      <w:headerReference w:type="even" r:id="rId7"/>
      <w:headerReference w:type="default" r:id="rId8"/>
      <w:footerReference w:type="even" r:id="rId9"/>
      <w:footerReference w:type="default" r:id="rId10"/>
      <w:headerReference w:type="first" r:id="rId11"/>
      <w:footerReference w:type="first" r:id="rId12"/>
      <w:pgSz w:w="11906" w:h="16838"/>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E5E66" w14:textId="77777777" w:rsidR="00E73137" w:rsidRDefault="00E73137" w:rsidP="00EF3F0D">
      <w:pPr>
        <w:spacing w:after="0" w:line="240" w:lineRule="auto"/>
      </w:pPr>
      <w:r>
        <w:separator/>
      </w:r>
    </w:p>
  </w:endnote>
  <w:endnote w:type="continuationSeparator" w:id="0">
    <w:p w14:paraId="3F3ADD15" w14:textId="77777777" w:rsidR="00E73137" w:rsidRDefault="00E73137" w:rsidP="00EF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7048" w14:textId="77777777" w:rsidR="00AB4F25" w:rsidRDefault="00AB4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FE81" w14:textId="7F36880D" w:rsidR="00DC36CF" w:rsidRPr="00A20121" w:rsidRDefault="00A20121">
    <w:pPr>
      <w:pStyle w:val="Footer"/>
      <w:rPr>
        <w:color w:val="000000" w:themeColor="text1"/>
        <w:sz w:val="20"/>
        <w:szCs w:val="20"/>
      </w:rPr>
    </w:pPr>
    <w:r w:rsidRPr="00A20121">
      <w:rPr>
        <w:color w:val="000000" w:themeColor="text1"/>
        <w:sz w:val="20"/>
        <w:szCs w:val="20"/>
      </w:rPr>
      <w:t>An electronic copy of this document</w:t>
    </w:r>
    <w:r w:rsidR="00DC36CF" w:rsidRPr="00A20121">
      <w:rPr>
        <w:color w:val="000000" w:themeColor="text1"/>
        <w:sz w:val="20"/>
        <w:szCs w:val="20"/>
      </w:rPr>
      <w:t xml:space="preserve"> should be uploaded to </w:t>
    </w:r>
    <w:r w:rsidR="00F65DA3" w:rsidRPr="00A20121">
      <w:rPr>
        <w:color w:val="000000" w:themeColor="text1"/>
        <w:sz w:val="20"/>
        <w:szCs w:val="20"/>
      </w:rPr>
      <w:t>Canvas</w:t>
    </w:r>
    <w:r w:rsidR="00DC36CF" w:rsidRPr="00A20121">
      <w:rPr>
        <w:color w:val="000000" w:themeColor="text1"/>
        <w:sz w:val="20"/>
        <w:szCs w:val="20"/>
      </w:rPr>
      <w:t xml:space="preserve"> by Friday</w:t>
    </w:r>
    <w:r w:rsidR="009C650A" w:rsidRPr="00A20121">
      <w:rPr>
        <w:color w:val="000000" w:themeColor="text1"/>
        <w:sz w:val="20"/>
        <w:szCs w:val="20"/>
      </w:rPr>
      <w:t>, 1</w:t>
    </w:r>
    <w:r w:rsidR="00AB4F25">
      <w:rPr>
        <w:color w:val="000000" w:themeColor="text1"/>
        <w:sz w:val="20"/>
        <w:szCs w:val="20"/>
      </w:rPr>
      <w:t>3</w:t>
    </w:r>
    <w:r w:rsidR="009C650A" w:rsidRPr="00A20121">
      <w:rPr>
        <w:color w:val="000000" w:themeColor="text1"/>
        <w:sz w:val="20"/>
        <w:szCs w:val="20"/>
        <w:vertAlign w:val="superscript"/>
      </w:rPr>
      <w:t>th</w:t>
    </w:r>
    <w:r w:rsidR="009C650A" w:rsidRPr="00A20121">
      <w:rPr>
        <w:color w:val="000000" w:themeColor="text1"/>
        <w:sz w:val="20"/>
        <w:szCs w:val="20"/>
      </w:rPr>
      <w:t xml:space="preserve"> June </w:t>
    </w:r>
    <w:r w:rsidR="00DC36CF" w:rsidRPr="00A20121">
      <w:rPr>
        <w:color w:val="000000" w:themeColor="text1"/>
        <w:sz w:val="20"/>
        <w:szCs w:val="20"/>
      </w:rPr>
      <w:t xml:space="preserve">at 5pm. Please make sure your </w:t>
    </w:r>
    <w:r w:rsidR="00866A9D">
      <w:rPr>
        <w:color w:val="000000" w:themeColor="text1"/>
        <w:sz w:val="20"/>
        <w:szCs w:val="20"/>
      </w:rPr>
      <w:t>project supervisor</w:t>
    </w:r>
    <w:r w:rsidR="00DC36CF" w:rsidRPr="00A20121">
      <w:rPr>
        <w:color w:val="000000" w:themeColor="text1"/>
        <w:sz w:val="20"/>
        <w:szCs w:val="20"/>
      </w:rPr>
      <w:t xml:space="preserve"> is happy with the final version of this document before uploading.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FDA1" w14:textId="77777777" w:rsidR="00AB4F25" w:rsidRDefault="00AB4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7874F" w14:textId="77777777" w:rsidR="00E73137" w:rsidRDefault="00E73137" w:rsidP="00EF3F0D">
      <w:pPr>
        <w:spacing w:after="0" w:line="240" w:lineRule="auto"/>
      </w:pPr>
      <w:r>
        <w:separator/>
      </w:r>
    </w:p>
  </w:footnote>
  <w:footnote w:type="continuationSeparator" w:id="0">
    <w:p w14:paraId="5927D46C" w14:textId="77777777" w:rsidR="00E73137" w:rsidRDefault="00E73137" w:rsidP="00EF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47A0" w14:textId="77777777" w:rsidR="00AB4F25" w:rsidRDefault="00AB4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440E" w14:textId="65CE1080" w:rsidR="00EF3F0D" w:rsidRDefault="00EF3F0D">
    <w:pPr>
      <w:pStyle w:val="Header"/>
    </w:pPr>
    <w:r>
      <w:t>ECS8056 MSc AI Themed Research Project</w:t>
    </w:r>
    <w:r w:rsidR="00D3792A">
      <w:tab/>
    </w:r>
    <w:r w:rsidR="00D3792A">
      <w:tab/>
    </w:r>
    <w:r w:rsidR="00FB52F0">
      <w:t>2</w:t>
    </w:r>
    <w:r w:rsidR="007F799F">
      <w:t>4</w:t>
    </w:r>
    <w:r w:rsidR="00FB52F0">
      <w:t>/</w:t>
    </w:r>
    <w:r w:rsidR="00D3792A">
      <w:t>2</w:t>
    </w:r>
    <w:r w:rsidR="007F799F">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3FDD" w14:textId="77777777" w:rsidR="00AB4F25" w:rsidRDefault="00AB4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7BB"/>
    <w:multiLevelType w:val="hybridMultilevel"/>
    <w:tmpl w:val="E2206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6F423A"/>
    <w:multiLevelType w:val="hybridMultilevel"/>
    <w:tmpl w:val="DA5EC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2780962">
    <w:abstractNumId w:val="1"/>
  </w:num>
  <w:num w:numId="2" w16cid:durableId="30451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6F"/>
    <w:rsid w:val="00066540"/>
    <w:rsid w:val="00092B6F"/>
    <w:rsid w:val="000A6A3B"/>
    <w:rsid w:val="000B1ED0"/>
    <w:rsid w:val="000C2768"/>
    <w:rsid w:val="00114959"/>
    <w:rsid w:val="00195525"/>
    <w:rsid w:val="001A0C05"/>
    <w:rsid w:val="001B18C8"/>
    <w:rsid w:val="00230AD8"/>
    <w:rsid w:val="00264008"/>
    <w:rsid w:val="003A1A06"/>
    <w:rsid w:val="003A2881"/>
    <w:rsid w:val="003A3B53"/>
    <w:rsid w:val="003D348C"/>
    <w:rsid w:val="00422485"/>
    <w:rsid w:val="004B31D2"/>
    <w:rsid w:val="004B7FC1"/>
    <w:rsid w:val="005E1751"/>
    <w:rsid w:val="005F3ED8"/>
    <w:rsid w:val="00622BA2"/>
    <w:rsid w:val="00641983"/>
    <w:rsid w:val="00665232"/>
    <w:rsid w:val="00670268"/>
    <w:rsid w:val="00686332"/>
    <w:rsid w:val="006A3822"/>
    <w:rsid w:val="006B630D"/>
    <w:rsid w:val="006C4253"/>
    <w:rsid w:val="007D18A0"/>
    <w:rsid w:val="007F799F"/>
    <w:rsid w:val="00800F9D"/>
    <w:rsid w:val="00841932"/>
    <w:rsid w:val="00866A9D"/>
    <w:rsid w:val="0094440C"/>
    <w:rsid w:val="009B63BC"/>
    <w:rsid w:val="009C650A"/>
    <w:rsid w:val="00A20121"/>
    <w:rsid w:val="00AB4F25"/>
    <w:rsid w:val="00AE686C"/>
    <w:rsid w:val="00AF1023"/>
    <w:rsid w:val="00BE1402"/>
    <w:rsid w:val="00C208F9"/>
    <w:rsid w:val="00C57F5A"/>
    <w:rsid w:val="00CA7D8C"/>
    <w:rsid w:val="00CD3E26"/>
    <w:rsid w:val="00D3792A"/>
    <w:rsid w:val="00D87845"/>
    <w:rsid w:val="00DC36CF"/>
    <w:rsid w:val="00E4288C"/>
    <w:rsid w:val="00E73137"/>
    <w:rsid w:val="00EC40B7"/>
    <w:rsid w:val="00EF3F0D"/>
    <w:rsid w:val="00F65DA3"/>
    <w:rsid w:val="00FB52F0"/>
    <w:rsid w:val="00FE4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4B073"/>
  <w15:chartTrackingRefBased/>
  <w15:docId w15:val="{E78AD5E8-1D73-447D-A357-70B6EFF9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sz w:val="18"/>
    </w:rPr>
  </w:style>
  <w:style w:type="paragraph" w:styleId="Heading1">
    <w:name w:val="heading 1"/>
    <w:basedOn w:val="Normal"/>
    <w:next w:val="Normal"/>
    <w:link w:val="Heading1Char"/>
    <w:uiPriority w:val="9"/>
    <w:qFormat/>
    <w:rsid w:val="00092B6F"/>
    <w:pPr>
      <w:keepNext/>
      <w:keepLines/>
      <w:spacing w:before="360" w:after="80"/>
      <w:outlineLvl w:val="0"/>
    </w:pPr>
    <w:rPr>
      <w:rFonts w:asciiTheme="majorHAnsi" w:eastAsiaTheme="majorEastAsia" w:hAnsiTheme="majorHAnsi" w:cstheme="majorBidi" w:ascii="Arial" w:hAnsi="Arial" w:eastAsia="Arial"/>
      <w:color w:val="1F4E79"/>
      <w:sz w:val="26"/>
      <w:szCs w:val="40"/>
    </w:rPr>
  </w:style>
  <w:style w:type="paragraph" w:styleId="Heading2">
    <w:name w:val="heading 2"/>
    <w:basedOn w:val="Normal"/>
    <w:next w:val="Normal"/>
    <w:link w:val="Heading2Char"/>
    <w:uiPriority w:val="9"/>
    <w:semiHidden/>
    <w:unhideWhenUsed/>
    <w:qFormat/>
    <w:rsid w:val="00092B6F"/>
    <w:pPr>
      <w:keepNext/>
      <w:keepLines/>
      <w:spacing w:before="160" w:after="80"/>
      <w:outlineLvl w:val="1"/>
    </w:pPr>
    <w:rPr>
      <w:rFonts w:asciiTheme="majorHAnsi" w:eastAsiaTheme="majorEastAsia" w:hAnsiTheme="majorHAnsi" w:cstheme="majorBidi" w:ascii="Arial" w:hAnsi="Arial" w:eastAsia="Arial"/>
      <w:color w:val="1F4E79"/>
      <w:sz w:val="21"/>
      <w:szCs w:val="32"/>
    </w:rPr>
  </w:style>
  <w:style w:type="paragraph" w:styleId="Heading3">
    <w:name w:val="heading 3"/>
    <w:basedOn w:val="Normal"/>
    <w:next w:val="Normal"/>
    <w:link w:val="Heading3Char"/>
    <w:uiPriority w:val="9"/>
    <w:semiHidden/>
    <w:unhideWhenUsed/>
    <w:qFormat/>
    <w:rsid w:val="0009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B6F"/>
    <w:rPr>
      <w:rFonts w:eastAsiaTheme="majorEastAsia" w:cstheme="majorBidi"/>
      <w:color w:val="272727" w:themeColor="text1" w:themeTint="D8"/>
    </w:rPr>
  </w:style>
  <w:style w:type="paragraph" w:styleId="Title">
    <w:name w:val="Title"/>
    <w:basedOn w:val="Normal"/>
    <w:next w:val="Normal"/>
    <w:link w:val="TitleChar"/>
    <w:uiPriority w:val="10"/>
    <w:qFormat/>
    <w:rsid w:val="0009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B6F"/>
    <w:pPr>
      <w:spacing w:before="160"/>
      <w:jc w:val="center"/>
    </w:pPr>
    <w:rPr>
      <w:i/>
      <w:iCs/>
      <w:color w:val="404040" w:themeColor="text1" w:themeTint="BF"/>
    </w:rPr>
  </w:style>
  <w:style w:type="character" w:customStyle="1" w:styleId="QuoteChar">
    <w:name w:val="Quote Char"/>
    <w:basedOn w:val="DefaultParagraphFont"/>
    <w:link w:val="Quote"/>
    <w:uiPriority w:val="29"/>
    <w:rsid w:val="00092B6F"/>
    <w:rPr>
      <w:i/>
      <w:iCs/>
      <w:color w:val="404040" w:themeColor="text1" w:themeTint="BF"/>
    </w:rPr>
  </w:style>
  <w:style w:type="paragraph" w:styleId="ListParagraph">
    <w:name w:val="List Paragraph"/>
    <w:basedOn w:val="Normal"/>
    <w:uiPriority w:val="34"/>
    <w:qFormat/>
    <w:rsid w:val="00092B6F"/>
    <w:pPr>
      <w:ind w:left="720"/>
      <w:contextualSpacing/>
    </w:pPr>
    <w:rPr>
      <w:rFonts w:ascii="Arial" w:hAnsi="Arial" w:eastAsia="Arial"/>
    </w:rPr>
  </w:style>
  <w:style w:type="character" w:styleId="IntenseEmphasis">
    <w:name w:val="Intense Emphasis"/>
    <w:basedOn w:val="DefaultParagraphFont"/>
    <w:uiPriority w:val="21"/>
    <w:qFormat/>
    <w:rsid w:val="00092B6F"/>
    <w:rPr>
      <w:i/>
      <w:iCs/>
      <w:color w:val="0F4761" w:themeColor="accent1" w:themeShade="BF"/>
    </w:rPr>
  </w:style>
  <w:style w:type="paragraph" w:styleId="IntenseQuote">
    <w:name w:val="Intense Quote"/>
    <w:basedOn w:val="Normal"/>
    <w:next w:val="Normal"/>
    <w:link w:val="IntenseQuoteChar"/>
    <w:uiPriority w:val="30"/>
    <w:qFormat/>
    <w:rsid w:val="0009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B6F"/>
    <w:rPr>
      <w:i/>
      <w:iCs/>
      <w:color w:val="0F4761" w:themeColor="accent1" w:themeShade="BF"/>
    </w:rPr>
  </w:style>
  <w:style w:type="character" w:styleId="IntenseReference">
    <w:name w:val="Intense Reference"/>
    <w:basedOn w:val="DefaultParagraphFont"/>
    <w:uiPriority w:val="32"/>
    <w:qFormat/>
    <w:rsid w:val="00092B6F"/>
    <w:rPr>
      <w:b/>
      <w:bCs/>
      <w:smallCaps/>
      <w:color w:val="0F4761" w:themeColor="accent1" w:themeShade="BF"/>
      <w:spacing w:val="5"/>
    </w:rPr>
  </w:style>
  <w:style w:type="paragraph" w:styleId="Header">
    <w:name w:val="header"/>
    <w:basedOn w:val="Normal"/>
    <w:link w:val="HeaderChar"/>
    <w:uiPriority w:val="99"/>
    <w:unhideWhenUsed/>
    <w:rsid w:val="00EF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F0D"/>
  </w:style>
  <w:style w:type="paragraph" w:styleId="Footer">
    <w:name w:val="footer"/>
    <w:basedOn w:val="Normal"/>
    <w:link w:val="FooterChar"/>
    <w:uiPriority w:val="99"/>
    <w:unhideWhenUsed/>
    <w:rsid w:val="00EF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51</TotalTime>
  <Pages>2</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
  <dc:description/>
  <cp:lastModifiedBy>Lu Bai</cp:lastModifiedBy>
  <cp:revision>51</cp:revision>
  <dcterms:created xsi:type="dcterms:W3CDTF">2024-05-22T08:53:00Z</dcterms:created>
  <dcterms:modified xsi:type="dcterms:W3CDTF">2025-01-30T12:00:00Z</dcterms:modified>
</cp:coreProperties>
</file>