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jc w:val="center"/>
      </w:pPr>
      <w:r>
        <w:rPr>
          <w:b/>
          <w:color w:val="0B2545"/>
          <w:sz w:val="36"/>
        </w:rPr>
        <w:t>Problem Specification / Project Plan</w:t>
      </w:r>
    </w:p>
    <w:p>
      <w:pPr>
        <w:spacing w:before="0" w:after="20" w:line="259" w:lineRule="auto"/>
        <w:jc w:val="center"/>
      </w:pPr>
      <w:r>
        <w:rPr>
          <w:b/>
          <w:color w:val="006F80"/>
          <w:sz w:val="30"/>
        </w:rPr>
        <w:t>Temporal Exploit Prediction</w:t>
      </w:r>
    </w:p>
    <w:p>
      <w:pPr>
        <w:spacing w:before="0" w:after="160" w:line="259" w:lineRule="auto"/>
        <w:jc w:val="center"/>
      </w:pPr>
      <w:r>
        <w:rPr>
          <w:i/>
          <w:color w:val="595959"/>
          <w:sz w:val="20"/>
        </w:rPr>
        <w:t>Modeling public CVE weaponization timelines with survival analysis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997"/>
        <w:gridCol w:w="4997"/>
      </w:tblGrid>
      <w:tr>
        <w:tc>
          <w:tcPr>
            <w:tcW w:type="dxa" w:w="2232"/>
            <w:vAlign w:val="center"/>
            <w:tcMar>
              <w:top w:w="80" w:type="dxa"/>
              <w:start w:w="100" w:type="dxa"/>
              <w:bottom w:w="80" w:type="dxa"/>
              <w:end w:w="100" w:type="dxa"/>
            </w:tcMar>
            <w:shd w:fill="0B2545"/>
          </w:tcPr>
          <w:p>
            <w:pPr>
              <w:spacing w:before="0" w:after="0" w:line="240" w:lineRule="auto"/>
              <w:jc w:val="center"/>
            </w:pPr>
            <w:r/>
            <w:r>
              <w:rPr>
                <w:rFonts w:ascii="Calibri" w:hAnsi="Calibri" w:eastAsia="Calibri"/>
                <w:b/>
                <w:color w:val="FFFFFF"/>
                <w:sz w:val="16"/>
              </w:rPr>
              <w:t>Field</w:t>
            </w:r>
          </w:p>
        </w:tc>
        <w:tc>
          <w:tcPr>
            <w:tcW w:type="dxa" w:w="6912"/>
            <w:vAlign w:val="center"/>
            <w:tcMar>
              <w:top w:w="80" w:type="dxa"/>
              <w:start w:w="100" w:type="dxa"/>
              <w:bottom w:w="80" w:type="dxa"/>
              <w:end w:w="100" w:type="dxa"/>
            </w:tcMar>
            <w:shd w:fill="0B2545"/>
          </w:tcPr>
          <w:p>
            <w:pPr>
              <w:spacing w:before="0" w:after="0" w:line="240" w:lineRule="auto"/>
              <w:jc w:val="center"/>
            </w:pPr>
            <w:r/>
            <w:r>
              <w:rPr>
                <w:rFonts w:ascii="Calibri" w:hAnsi="Calibri" w:eastAsia="Calibri"/>
                <w:b/>
                <w:color w:val="FFFFFF"/>
                <w:sz w:val="16"/>
              </w:rPr>
              <w:t>Value</w:t>
            </w:r>
          </w:p>
        </w:tc>
      </w:tr>
      <w:tr>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Project Title</w:t>
            </w:r>
          </w:p>
        </w:tc>
        <w:tc>
          <w:tcPr>
            <w:tcW w:type="dxa" w:w="691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Temporal Exploit Prediction - Modeling Public CVE Weaponization Timelines</w:t>
            </w:r>
          </w:p>
        </w:tc>
      </w:tr>
      <w:tr>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Student Name</w:t>
            </w:r>
          </w:p>
        </w:tc>
        <w:tc>
          <w:tcPr>
            <w:tcW w:type="dxa" w:w="691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[Your Name]</w:t>
            </w:r>
          </w:p>
        </w:tc>
      </w:tr>
      <w:tr>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Student ID</w:t>
            </w:r>
          </w:p>
        </w:tc>
        <w:tc>
          <w:tcPr>
            <w:tcW w:type="dxa" w:w="691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[Your Student ID]</w:t>
            </w:r>
          </w:p>
        </w:tc>
      </w:tr>
      <w:tr>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Project Supervisor Name</w:t>
            </w:r>
          </w:p>
        </w:tc>
        <w:tc>
          <w:tcPr>
            <w:tcW w:type="dxa" w:w="691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[Supervisor Name]</w:t>
            </w:r>
          </w:p>
        </w:tc>
      </w:tr>
      <w:tr>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Primary Deliverable</w:t>
            </w:r>
          </w:p>
        </w:tc>
        <w:tc>
          <w:tcPr>
            <w:tcW w:type="dxa" w:w="691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Auditable survival-modeling pipeline and dissertation analysis</w:t>
            </w:r>
          </w:p>
        </w:tc>
      </w:tr>
    </w:tbl>
    <w:p>
      <w:pPr>
        <w:spacing w:after="40"/>
      </w:pPr>
    </w:p>
    <w:tbl>
      <w:tblPr>
        <w:tblW w:type="auto" w:w="0"/>
        <w:jc w:val="center"/>
        <w:tblLook w:firstColumn="1" w:firstRow="1" w:lastColumn="0" w:lastRow="0" w:noHBand="0" w:noVBand="1" w:val="04A0"/>
        <w:tblBorders>
          <w:top w:val="single" w:sz="6" w:space="0" w:color="C7D8EA"/>
          <w:left w:val="single" w:sz="6" w:space="0" w:color="C7D8EA"/>
          <w:bottom w:val="single" w:sz="6" w:space="0" w:color="C7D8EA"/>
          <w:right w:val="single" w:sz="6" w:space="0" w:color="C7D8EA"/>
          <w:insideH w:val="single" w:sz="6" w:space="0" w:color="C7D8EA"/>
          <w:insideV w:val="single" w:sz="6" w:space="0" w:color="C7D8EA"/>
        </w:tblBorders>
      </w:tblPr>
      <w:tblGrid>
        <w:gridCol w:w="9994"/>
      </w:tblGrid>
      <w:tr>
        <w:tc>
          <w:tcPr>
            <w:tcW w:type="dxa" w:w="9994"/>
            <w:shd w:fill="E8F4F5"/>
            <w:tcMar>
              <w:top w:w="120" w:type="dxa"/>
              <w:start w:w="160" w:type="dxa"/>
              <w:bottom w:w="120" w:type="dxa"/>
              <w:end w:w="160" w:type="dxa"/>
            </w:tcMar>
          </w:tcPr>
          <w:p>
            <w:pPr>
              <w:spacing w:before="0" w:after="0" w:line="252" w:lineRule="auto"/>
            </w:pPr>
            <w:r>
              <w:rPr>
                <w:b/>
                <w:color w:val="0B2545"/>
                <w:sz w:val="19"/>
              </w:rPr>
              <w:t>Project thesis:</w:t>
            </w:r>
            <w:r>
              <w:t xml:space="preserve"> Severity scores and EPSS help prioritize vulnerabilities, but they do not fully explain when public exploit capability appears. This project models that timing across PoC, Metasploit, Nuclei, and confirmed in-wild states.</w:t>
            </w:r>
          </w:p>
        </w:tc>
      </w:tr>
    </w:tbl>
    <w:p>
      <w:pPr>
        <w:pStyle w:val="Heading1"/>
        <w:spacing w:before="140" w:after="40" w:line="259" w:lineRule="auto"/>
      </w:pPr>
      <w:r>
        <w:t>1. Introduction</w:t>
      </w:r>
    </w:p>
    <w:p>
      <w:pPr>
        <w:pStyle w:val="Heading2"/>
        <w:spacing w:before="60" w:after="40" w:line="259" w:lineRule="auto"/>
      </w:pPr>
      <w:r>
        <w:t>1.1 Project Overview</w:t>
      </w:r>
    </w:p>
    <w:p>
      <w:pPr>
        <w:spacing w:before="0" w:after="80" w:line="259" w:lineRule="auto"/>
      </w:pPr>
      <w:r>
        <w:t>This project investigates the time between public CVE disclosure and the appearance of public weaponization signals. Instead of reducing exploitation to a single binary outcome, the project treats weaponization as a timeline with observable states: proof-of-concept publication, Metasploit module availability, Nuclei template availability, and confirmed in-the-wild exploitation through CISA KEV or Google Project Zero 0-day records.</w:t>
      </w:r>
    </w:p>
    <w:p>
      <w:pPr>
        <w:spacing w:before="0" w:after="80" w:line="259" w:lineRule="auto"/>
      </w:pPr>
      <w:r>
        <w:t>The existing project handover dataset provides the core research asset: a CVE corpus, dated exploit and detection feeds, daily EPSS history, MITRE CWE-CAPEC-ATT&amp;CK mappings, and feed-presence indicators. This allows the project to move beyond static severity scoring and ask a more operational question: how soon after disclosure is public exploit capability likely to appear?</w:t>
      </w:r>
    </w:p>
    <w:p>
      <w:pPr>
        <w:pStyle w:val="Heading2"/>
        <w:spacing w:before="60" w:after="40" w:line="259" w:lineRule="auto"/>
      </w:pPr>
      <w:r>
        <w:t>1.2 Objectives</w:t>
      </w:r>
    </w:p>
    <w:p>
      <w:pPr>
        <w:spacing w:before="0" w:after="40" w:line="250" w:lineRule="auto"/>
        <w:ind w:left="317" w:hanging="173"/>
      </w:pPr>
      <w:r>
        <w:rPr>
          <w:b/>
          <w:color w:val="1F4E79"/>
        </w:rPr>
        <w:t xml:space="preserve">1. </w:t>
      </w:r>
      <w:r>
        <w:t>Construct a reproducible modeling dataset from the handover parquets while preserving event provenance, censoring status, and negative-duration flags.</w:t>
      </w:r>
    </w:p>
    <w:p>
      <w:pPr>
        <w:spacing w:before="0" w:after="40" w:line="250" w:lineRule="auto"/>
        <w:ind w:left="317" w:hanging="173"/>
      </w:pPr>
      <w:r>
        <w:rPr>
          <w:b/>
          <w:color w:val="1F4E79"/>
        </w:rPr>
        <w:t xml:space="preserve">2. </w:t>
      </w:r>
      <w:r>
        <w:t>Define defensible survival labels for first public weaponization and event-specific timelines for PoC, Metasploit, Nuclei, and confirmed in-wild signals.</w:t>
      </w:r>
    </w:p>
    <w:p>
      <w:pPr>
        <w:spacing w:before="0" w:after="40" w:line="250" w:lineRule="auto"/>
        <w:ind w:left="317" w:hanging="173"/>
      </w:pPr>
      <w:r>
        <w:rPr>
          <w:b/>
          <w:color w:val="1F4E79"/>
        </w:rPr>
        <w:t xml:space="preserve">3. </w:t>
      </w:r>
      <w:r>
        <w:t>Engineer leakage-safe publication-time features from CVSS, CWE, affected vendor/product metadata, ATT&amp;CK mappings, and EPSS-at-publication.</w:t>
      </w:r>
    </w:p>
    <w:p>
      <w:pPr>
        <w:spacing w:before="0" w:after="40" w:line="250" w:lineRule="auto"/>
        <w:ind w:left="317" w:hanging="173"/>
      </w:pPr>
      <w:r>
        <w:rPr>
          <w:b/>
          <w:color w:val="1F4E79"/>
        </w:rPr>
        <w:t xml:space="preserve">4. </w:t>
      </w:r>
      <w:r>
        <w:t>Train baseline survival models including Kaplan-Meier curves and Cox proportional hazards models before adding stronger ML models.</w:t>
      </w:r>
    </w:p>
    <w:p>
      <w:pPr>
        <w:spacing w:before="0" w:after="40" w:line="250" w:lineRule="auto"/>
        <w:ind w:left="317" w:hanging="173"/>
      </w:pPr>
      <w:r>
        <w:rPr>
          <w:b/>
          <w:color w:val="1F4E79"/>
        </w:rPr>
        <w:t xml:space="preserve">5. </w:t>
      </w:r>
      <w:r>
        <w:t>Develop a discrete-time multi-task survival model that outputs risk at 7, 30, 90, and 180 days for each weaponization state.</w:t>
      </w:r>
    </w:p>
    <w:p>
      <w:pPr>
        <w:spacing w:before="0" w:after="40" w:line="250" w:lineRule="auto"/>
        <w:ind w:left="317" w:hanging="173"/>
      </w:pPr>
      <w:r>
        <w:rPr>
          <w:b/>
          <w:color w:val="1F4E79"/>
        </w:rPr>
        <w:t xml:space="preserve">6. </w:t>
      </w:r>
      <w:r>
        <w:t>Compare the model against EPSS to identify where public weaponization timing and in-wild exploitation probability agree or diverge.</w:t>
      </w:r>
    </w:p>
    <w:p>
      <w:pPr>
        <w:spacing w:before="0" w:after="40" w:line="250" w:lineRule="auto"/>
        <w:ind w:left="317" w:hanging="173"/>
      </w:pPr>
      <w:r>
        <w:rPr>
          <w:b/>
          <w:color w:val="1F4E79"/>
        </w:rPr>
        <w:t xml:space="preserve">7. </w:t>
      </w:r>
      <w:r>
        <w:t>Produce production-oriented artifacts: schema validation, feature provenance, locked temporal splits, model cards, calibration reports, and artifact manifests.</w:t>
      </w:r>
    </w:p>
    <w:p>
      <w:pPr>
        <w:pStyle w:val="Heading1"/>
        <w:spacing w:before="140" w:after="40" w:line="259" w:lineRule="auto"/>
      </w:pPr>
      <w:r>
        <w:t>2. Problem Specification</w:t>
      </w:r>
    </w:p>
    <w:p>
      <w:pPr>
        <w:pStyle w:val="Heading2"/>
        <w:spacing w:before="60" w:after="40" w:line="259" w:lineRule="auto"/>
      </w:pPr>
      <w:r>
        <w:t>2.1 Background and Context</w:t>
      </w:r>
    </w:p>
    <w:p>
      <w:pPr>
        <w:spacing w:before="0" w:after="80" w:line="259" w:lineRule="auto"/>
      </w:pPr>
      <w:r>
        <w:t>Vulnerability management often uses CVSS to represent technical severity and EPSS to estimate near-term exploitation probability. FIRST describes EPSS as a data-driven machine-learning model that estimates whether a published CVE will be exploited in the wild in the next 30 days. This project complements that view by modeling the upstream public weaponization pipeline: when PoC code, framework modules, detection templates, and confirmed exploitation records appear after disclosure.</w:t>
      </w:r>
    </w:p>
    <w:p>
      <w:pPr>
        <w:spacing w:before="0" w:after="80" w:line="259" w:lineRule="auto"/>
      </w:pPr>
      <w:r>
        <w:t>The closest research precedent is Expected Exploitability, which argues that exploitability should be treated as time-varying rather than static. That framing fits this dataset: the observable state of a CVE changes over time as public artifacts and exploitation evidence accumulate.</w:t>
      </w:r>
    </w:p>
    <w:p>
      <w:pPr>
        <w:pStyle w:val="Heading2"/>
        <w:spacing w:before="60" w:after="40" w:line="259" w:lineRule="auto"/>
      </w:pPr>
      <w:r>
        <w:t>2.2 Problem Domain</w:t>
      </w:r>
    </w:p>
    <w:tbl>
      <w:tblPr>
        <w:tblW w:type="auto" w:w="0"/>
        <w:jc w:val="center"/>
        <w:tblLook w:firstColumn="1" w:firstRow="1" w:lastColumn="0" w:lastRow="0" w:noHBand="0" w:noVBand="1" w:val="04A0"/>
        <w:tblBorders>
          <w:top w:val="single" w:sz="6" w:space="0" w:color="C7D8EA"/>
          <w:left w:val="single" w:sz="6" w:space="0" w:color="C7D8EA"/>
          <w:bottom w:val="single" w:sz="6" w:space="0" w:color="C7D8EA"/>
          <w:right w:val="single" w:sz="6" w:space="0" w:color="C7D8EA"/>
          <w:insideH w:val="single" w:sz="6" w:space="0" w:color="C7D8EA"/>
          <w:insideV w:val="single" w:sz="6" w:space="0" w:color="C7D8EA"/>
        </w:tblBorders>
      </w:tblPr>
      <w:tblGrid>
        <w:gridCol w:w="9994"/>
      </w:tblGrid>
      <w:tr>
        <w:tc>
          <w:tcPr>
            <w:tcW w:type="dxa" w:w="9994"/>
            <w:shd w:fill="FFF3CD"/>
            <w:tcMar>
              <w:top w:w="120" w:type="dxa"/>
              <w:start w:w="160" w:type="dxa"/>
              <w:bottom w:w="120" w:type="dxa"/>
              <w:end w:w="160" w:type="dxa"/>
            </w:tcMar>
          </w:tcPr>
          <w:p>
            <w:pPr>
              <w:spacing w:before="0" w:after="0" w:line="252" w:lineRule="auto"/>
            </w:pPr>
            <w:r>
              <w:rPr>
                <w:b/>
                <w:color w:val="0B2545"/>
                <w:sz w:val="19"/>
              </w:rPr>
              <w:t>Framing guardrail:</w:t>
            </w:r>
            <w:r>
              <w:t xml:space="preserve"> The project should not claim to predict all real-world exploitation. Most available events are PoC or tooling signals, so the precise claim is prediction of public weaponization timing, with confirmed in-wild exploitation treated as one later and sparser state.</w:t>
            </w:r>
          </w:p>
        </w:tc>
      </w:tr>
    </w:tbl>
    <w:p>
      <w:pPr>
        <w:spacing w:before="0" w:after="40" w:line="250" w:lineRule="auto"/>
        <w:ind w:left="317" w:hanging="173"/>
      </w:pPr>
      <w:r>
        <w:rPr>
          <w:b/>
          <w:color w:val="1F4E79"/>
        </w:rPr>
        <w:t xml:space="preserve">Issue 1: </w:t>
      </w:r>
      <w:r>
        <w:t>Weaponization is multi-state: PoC, scanner template, exploit framework module, and confirmed in-wild exploitation are related but not equivalent.</w:t>
      </w:r>
    </w:p>
    <w:p>
      <w:pPr>
        <w:spacing w:before="0" w:after="40" w:line="250" w:lineRule="auto"/>
        <w:ind w:left="317" w:hanging="173"/>
      </w:pPr>
      <w:r>
        <w:rPr>
          <w:b/>
          <w:color w:val="1F4E79"/>
        </w:rPr>
        <w:t xml:space="preserve">Issue 2: </w:t>
      </w:r>
      <w:r>
        <w:t>Right censoring is informative: no observed event does not mean no exploitation; it means no signal in the selected feeds by the snapshot date.</w:t>
      </w:r>
    </w:p>
    <w:p>
      <w:pPr>
        <w:spacing w:before="0" w:after="40" w:line="250" w:lineRule="auto"/>
        <w:ind w:left="317" w:hanging="173"/>
      </w:pPr>
      <w:r>
        <w:rPr>
          <w:b/>
          <w:color w:val="1F4E79"/>
        </w:rPr>
        <w:t xml:space="preserve">Issue 3: </w:t>
      </w:r>
      <w:r>
        <w:t>Temporal leakage is a major validity risk because descriptions, feed flags, and snapshot-time EPSS may contain post-event information.</w:t>
      </w:r>
    </w:p>
    <w:p>
      <w:pPr>
        <w:spacing w:before="0" w:after="40" w:line="250" w:lineRule="auto"/>
        <w:ind w:left="317" w:hanging="173"/>
      </w:pPr>
      <w:r>
        <w:rPr>
          <w:b/>
          <w:color w:val="1F4E79"/>
        </w:rPr>
        <w:t xml:space="preserve">Issue 4: </w:t>
      </w:r>
      <w:r>
        <w:t>Random splits are unsuitable because vulnerability trends shift over calendar time; the project requires locked publication-date splits.</w:t>
      </w:r>
    </w:p>
    <w:p>
      <w:pPr>
        <w:spacing w:before="0" w:after="40" w:line="250" w:lineRule="auto"/>
        <w:ind w:left="317" w:hanging="173"/>
      </w:pPr>
      <w:r>
        <w:rPr>
          <w:b/>
          <w:color w:val="1F4E79"/>
        </w:rPr>
        <w:t xml:space="preserve">Issue 5: </w:t>
      </w:r>
      <w:r>
        <w:t>Confirmed in-wild labels are sparse, so the model must report uncertainty and avoid overfitting that endpoint.</w:t>
      </w:r>
    </w:p>
    <w:p>
      <w:pPr>
        <w:pStyle w:val="Heading1"/>
        <w:spacing w:before="140" w:after="40" w:line="259" w:lineRule="auto"/>
      </w:pPr>
      <w:r>
        <w:t>3. Deep Research Foundation and Algorithm Choice</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997"/>
        <w:gridCol w:w="4997"/>
      </w:tblGrid>
      <w:tr>
        <w:tc>
          <w:tcPr>
            <w:tcW w:type="dxa" w:w="3960"/>
            <w:vAlign w:val="center"/>
            <w:tcMar>
              <w:top w:w="80" w:type="dxa"/>
              <w:start w:w="100" w:type="dxa"/>
              <w:bottom w:w="80" w:type="dxa"/>
              <w:end w:w="100" w:type="dxa"/>
            </w:tcMar>
            <w:shd w:fill="006F80"/>
          </w:tcPr>
          <w:p>
            <w:pPr>
              <w:spacing w:before="0" w:after="0" w:line="240" w:lineRule="auto"/>
              <w:jc w:val="center"/>
            </w:pPr>
            <w:r/>
            <w:r>
              <w:rPr>
                <w:rFonts w:ascii="Calibri" w:hAnsi="Calibri" w:eastAsia="Calibri"/>
                <w:b/>
                <w:color w:val="FFFFFF"/>
                <w:sz w:val="16"/>
              </w:rPr>
              <w:t>Evidence</w:t>
            </w:r>
          </w:p>
        </w:tc>
        <w:tc>
          <w:tcPr>
            <w:tcW w:type="dxa" w:w="5112"/>
            <w:vAlign w:val="center"/>
            <w:tcMar>
              <w:top w:w="80" w:type="dxa"/>
              <w:start w:w="100" w:type="dxa"/>
              <w:bottom w:w="80" w:type="dxa"/>
              <w:end w:w="100" w:type="dxa"/>
            </w:tcMar>
            <w:shd w:fill="006F80"/>
          </w:tcPr>
          <w:p>
            <w:pPr>
              <w:spacing w:before="0" w:after="0" w:line="240" w:lineRule="auto"/>
              <w:jc w:val="center"/>
            </w:pPr>
            <w:r/>
            <w:r>
              <w:rPr>
                <w:rFonts w:ascii="Calibri" w:hAnsi="Calibri" w:eastAsia="Calibri"/>
                <w:b/>
                <w:color w:val="FFFFFF"/>
                <w:sz w:val="16"/>
              </w:rPr>
              <w:t>Implication for this project</w:t>
            </w:r>
          </w:p>
        </w:tc>
      </w:tr>
      <w:tr>
        <w:tc>
          <w:tcPr>
            <w:tcW w:type="dxa" w:w="396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EPSS estimates 30-day in-wild exploitation probability for published CVEs.</w:t>
            </w:r>
          </w:p>
        </w:tc>
        <w:tc>
          <w:tcPr>
            <w:tcW w:type="dxa" w:w="511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Use EPSS as a comparator and optional publication-time feature, not as the same target.</w:t>
            </w:r>
          </w:p>
        </w:tc>
      </w:tr>
      <w:tr>
        <w:tc>
          <w:tcPr>
            <w:tcW w:type="dxa" w:w="396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Expected Exploitability treats exploitability as time-varying after disclosure.</w:t>
            </w:r>
          </w:p>
        </w:tc>
        <w:tc>
          <w:tcPr>
            <w:tcW w:type="dxa" w:w="511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Use survival analysis rather than static binary classification.</w:t>
            </w:r>
          </w:p>
        </w:tc>
      </w:tr>
      <w:tr>
        <w:tc>
          <w:tcPr>
            <w:tcW w:type="dxa" w:w="396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scikit-survival recommends C-index, IPCW C-index, dynamic AUC, and Brier scores.</w:t>
            </w:r>
          </w:p>
        </w:tc>
        <w:tc>
          <w:tcPr>
            <w:tcW w:type="dxa" w:w="511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Evaluate discrimination and calibration at 7/30/90/180 days.</w:t>
            </w:r>
          </w:p>
        </w:tc>
      </w:tr>
      <w:tr>
        <w:tc>
          <w:tcPr>
            <w:tcW w:type="dxa" w:w="396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lifelines supports Kaplan-Meier and Cox PH baselines.</w:t>
            </w:r>
          </w:p>
        </w:tc>
        <w:tc>
          <w:tcPr>
            <w:tcW w:type="dxa" w:w="511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Start with interpretable baselines before neural models.</w:t>
            </w:r>
          </w:p>
        </w:tc>
      </w:tr>
      <w:tr>
        <w:tc>
          <w:tcPr>
            <w:tcW w:type="dxa" w:w="396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pycox provides PyTorch survival models including DeepHit-style discrete-time methods.</w:t>
            </w:r>
          </w:p>
        </w:tc>
        <w:tc>
          <w:tcPr>
            <w:tcW w:type="dxa" w:w="511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Use a discrete-time multi-task survival model as the main AI model.</w:t>
            </w:r>
          </w:p>
        </w:tc>
      </w:tr>
    </w:tbl>
    <w:p>
      <w:pPr>
        <w:spacing w:after="40"/>
      </w:pPr>
    </w:p>
    <w:p>
      <w:pPr>
        <w:pStyle w:val="Heading2"/>
        <w:spacing w:before="60" w:after="40" w:line="259" w:lineRule="auto"/>
      </w:pPr>
      <w:r>
        <w:t>3.1 Research Methods and AI Algorithms</w:t>
      </w:r>
    </w:p>
    <w:p>
      <w:pPr>
        <w:spacing w:before="0" w:after="80" w:line="259" w:lineRule="auto"/>
      </w:pPr>
      <w:r>
        <w:t>The project will use a staged survival-analysis methodology. First, exploratory data analysis will quantify event-source composition, censoring, negative durations, and timing distributions. Kaplan-Meier curves will provide the non-parametric baseline survival view. Cox proportional hazards will provide an interpretable statistical benchmark using leakage-safe publication-time features.</w:t>
      </w:r>
    </w:p>
    <w:p>
      <w:pPr>
        <w:spacing w:before="0" w:after="80" w:line="259" w:lineRule="auto"/>
      </w:pPr>
      <w:r>
        <w:t>The main model will be a discrete-time multi-task survival model. It will share a representation over structured publication-time features and use event-specific output heads for PoC, Metasploit, Nuclei, and confirmed in-wild signals. Each head will output cumulative risk at operational horizons: 7, 30, 90, and 180 days. This is better aligned to defender action than a single probability score because it distinguishes early public PoC risk from later framework or in-wild exploitation risk.</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98"/>
        <w:gridCol w:w="2498"/>
        <w:gridCol w:w="2498"/>
        <w:gridCol w:w="2498"/>
      </w:tblGrid>
      <w:tr>
        <w:tc>
          <w:tcPr>
            <w:tcW w:type="dxa" w:w="2232"/>
            <w:vAlign w:val="center"/>
            <w:tcMar>
              <w:top w:w="80" w:type="dxa"/>
              <w:start w:w="100" w:type="dxa"/>
              <w:bottom w:w="80" w:type="dxa"/>
              <w:end w:w="100" w:type="dxa"/>
            </w:tcMar>
            <w:shd w:fill="1F4E79"/>
          </w:tcPr>
          <w:p>
            <w:pPr>
              <w:spacing w:before="0" w:after="0" w:line="240" w:lineRule="auto"/>
              <w:jc w:val="center"/>
            </w:pPr>
            <w:r/>
            <w:r>
              <w:rPr>
                <w:rFonts w:ascii="Calibri" w:hAnsi="Calibri" w:eastAsia="Calibri"/>
                <w:b/>
                <w:color w:val="FFFFFF"/>
                <w:sz w:val="16"/>
              </w:rPr>
              <w:t>Model</w:t>
            </w:r>
          </w:p>
        </w:tc>
        <w:tc>
          <w:tcPr>
            <w:tcW w:type="dxa" w:w="2736"/>
            <w:vAlign w:val="center"/>
            <w:tcMar>
              <w:top w:w="80" w:type="dxa"/>
              <w:start w:w="100" w:type="dxa"/>
              <w:bottom w:w="80" w:type="dxa"/>
              <w:end w:w="100" w:type="dxa"/>
            </w:tcMar>
            <w:shd w:fill="1F4E79"/>
          </w:tcPr>
          <w:p>
            <w:pPr>
              <w:spacing w:before="0" w:after="0" w:line="240" w:lineRule="auto"/>
              <w:jc w:val="center"/>
            </w:pPr>
            <w:r/>
            <w:r>
              <w:rPr>
                <w:rFonts w:ascii="Calibri" w:hAnsi="Calibri" w:eastAsia="Calibri"/>
                <w:b/>
                <w:color w:val="FFFFFF"/>
                <w:sz w:val="16"/>
              </w:rPr>
              <w:t>Purpose</w:t>
            </w:r>
          </w:p>
        </w:tc>
        <w:tc>
          <w:tcPr>
            <w:tcW w:type="dxa" w:w="2232"/>
            <w:vAlign w:val="center"/>
            <w:tcMar>
              <w:top w:w="80" w:type="dxa"/>
              <w:start w:w="100" w:type="dxa"/>
              <w:bottom w:w="80" w:type="dxa"/>
              <w:end w:w="100" w:type="dxa"/>
            </w:tcMar>
            <w:shd w:fill="1F4E79"/>
          </w:tcPr>
          <w:p>
            <w:pPr>
              <w:spacing w:before="0" w:after="0" w:line="240" w:lineRule="auto"/>
              <w:jc w:val="center"/>
            </w:pPr>
            <w:r/>
            <w:r>
              <w:rPr>
                <w:rFonts w:ascii="Calibri" w:hAnsi="Calibri" w:eastAsia="Calibri"/>
                <w:b/>
                <w:color w:val="FFFFFF"/>
                <w:sz w:val="16"/>
              </w:rPr>
              <w:t>Strength</w:t>
            </w:r>
          </w:p>
        </w:tc>
        <w:tc>
          <w:tcPr>
            <w:tcW w:type="dxa" w:w="2232"/>
            <w:vAlign w:val="center"/>
            <w:tcMar>
              <w:top w:w="80" w:type="dxa"/>
              <w:start w:w="100" w:type="dxa"/>
              <w:bottom w:w="80" w:type="dxa"/>
              <w:end w:w="100" w:type="dxa"/>
            </w:tcMar>
            <w:shd w:fill="1F4E79"/>
          </w:tcPr>
          <w:p>
            <w:pPr>
              <w:spacing w:before="0" w:after="0" w:line="240" w:lineRule="auto"/>
              <w:jc w:val="center"/>
            </w:pPr>
            <w:r/>
            <w:r>
              <w:rPr>
                <w:rFonts w:ascii="Calibri" w:hAnsi="Calibri" w:eastAsia="Calibri"/>
                <w:b/>
                <w:color w:val="FFFFFF"/>
                <w:sz w:val="16"/>
              </w:rPr>
              <w:t>Main limitation</w:t>
            </w:r>
          </w:p>
        </w:tc>
      </w:tr>
      <w:tr>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Kaplan-Meier</w:t>
            </w:r>
          </w:p>
        </w:tc>
        <w:tc>
          <w:tcPr>
            <w:tcW w:type="dxa" w:w="2736"/>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Unconditional baseline survival curves</w:t>
            </w:r>
          </w:p>
        </w:tc>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Simple and transparent</w:t>
            </w:r>
          </w:p>
        </w:tc>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No feature effects</w:t>
            </w:r>
          </w:p>
        </w:tc>
      </w:tr>
      <w:tr>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Cox PH</w:t>
            </w:r>
          </w:p>
        </w:tc>
        <w:tc>
          <w:tcPr>
            <w:tcW w:type="dxa" w:w="2736"/>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Interpretable feature baseline</w:t>
            </w:r>
          </w:p>
        </w:tc>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Hazard ratios and explainability</w:t>
            </w:r>
          </w:p>
        </w:tc>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Requires PH assumption checks</w:t>
            </w:r>
          </w:p>
        </w:tc>
      </w:tr>
      <w:tr>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Random Survival Forest</w:t>
            </w:r>
          </w:p>
        </w:tc>
        <w:tc>
          <w:tcPr>
            <w:tcW w:type="dxa" w:w="2736"/>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Non-linear classical ML baseline</w:t>
            </w:r>
          </w:p>
        </w:tc>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Captures interactions</w:t>
            </w:r>
          </w:p>
        </w:tc>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Less transparent and heavier dependency</w:t>
            </w:r>
          </w:p>
        </w:tc>
      </w:tr>
      <w:tr>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Discrete-time multi-task survival</w:t>
            </w:r>
          </w:p>
        </w:tc>
        <w:tc>
          <w:tcPr>
            <w:tcW w:type="dxa" w:w="2736"/>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Main AI model</w:t>
            </w:r>
          </w:p>
        </w:tc>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Multi-horizon, multi-state risk outputs</w:t>
            </w:r>
          </w:p>
        </w:tc>
        <w:tc>
          <w:tcPr>
            <w:tcW w:type="dxa" w:w="2232"/>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Needs careful calibration and enough data</w:t>
            </w:r>
          </w:p>
        </w:tc>
      </w:tr>
    </w:tbl>
    <w:p>
      <w:pPr>
        <w:spacing w:after="40"/>
      </w:pPr>
    </w:p>
    <w:p>
      <w:pPr>
        <w:pStyle w:val="Heading2"/>
        <w:spacing w:before="60" w:after="40" w:line="259" w:lineRule="auto"/>
      </w:pPr>
      <w:r>
        <w:t>3.2 Dataset and Feature Plan</w:t>
      </w:r>
    </w:p>
    <w:p>
      <w:pPr>
        <w:spacing w:before="0" w:after="80" w:line="259" w:lineRule="auto"/>
      </w:pPr>
      <w:r>
        <w:t>The modeling dataset will start with `cve_corpus.parquet` as the per-CVE base table. Event dates will be joined from `poc_dates`, `metasploit_dates`, `nuclei_dates`, `kev_events`, and `google_0day`. The clock origin is the CVE publication date. CVEs without a selected event by the snapshot date are right-censored. Negative durations will be flagged rather than removed because they may indicate pre-disclosure PoCs or backfilled event records.</w:t>
      </w:r>
    </w:p>
    <w:p>
      <w:pPr>
        <w:spacing w:before="0" w:after="80" w:line="259" w:lineRule="auto"/>
      </w:pPr>
      <w:r>
        <w:t>The first model will use only publication-time or temporally stable structured features: CVSS score/severity, CWE metadata, vendor/product counts, ATT&amp;CK mappings derived through MITRE CWE-CAPEC-ATT&amp;CK chains, publication year/month, and EPSS-at-publication where available. Current description text, snapshot-time feed flags, and EPSS-at-snapshot will be excluded from the primary model to avoid temporal leakage.</w:t>
      </w:r>
    </w:p>
    <w:p>
      <w:pPr>
        <w:pStyle w:val="Heading1"/>
        <w:spacing w:before="140" w:after="40" w:line="259" w:lineRule="auto"/>
      </w:pPr>
      <w:r>
        <w:t>4. Anticipated Results and Contribution</w:t>
      </w:r>
    </w:p>
    <w:p>
      <w:pPr>
        <w:spacing w:before="0" w:after="80" w:line="259" w:lineRule="auto"/>
      </w:pPr>
      <w:r>
        <w:t>The expected outcome is a reproducible research and modeling pipeline that produces survival labels, leakage-safe feature sets, baseline survival analysis, multi-horizon model predictions, calibration reports, and an EPSS comparison. The project should show which CVE characteristics are associated with faster public weaponization and whether EPSS agrees with or diverges from public tooling timelines.</w:t>
      </w:r>
    </w:p>
    <w:tbl>
      <w:tblPr>
        <w:tblW w:type="auto" w:w="0"/>
        <w:jc w:val="center"/>
        <w:tblLook w:firstColumn="1" w:firstRow="1" w:lastColumn="0" w:lastRow="0" w:noHBand="0" w:noVBand="1" w:val="04A0"/>
        <w:tblBorders>
          <w:top w:val="single" w:sz="6" w:space="0" w:color="C7D8EA"/>
          <w:left w:val="single" w:sz="6" w:space="0" w:color="C7D8EA"/>
          <w:bottom w:val="single" w:sz="6" w:space="0" w:color="C7D8EA"/>
          <w:right w:val="single" w:sz="6" w:space="0" w:color="C7D8EA"/>
          <w:insideH w:val="single" w:sz="6" w:space="0" w:color="C7D8EA"/>
          <w:insideV w:val="single" w:sz="6" w:space="0" w:color="C7D8EA"/>
        </w:tblBorders>
      </w:tblPr>
      <w:tblGrid>
        <w:gridCol w:w="9994"/>
      </w:tblGrid>
      <w:tr>
        <w:tc>
          <w:tcPr>
            <w:tcW w:type="dxa" w:w="9994"/>
            <w:shd w:fill="E8F4F5"/>
            <w:tcMar>
              <w:top w:w="120" w:type="dxa"/>
              <w:start w:w="160" w:type="dxa"/>
              <w:bottom w:w="120" w:type="dxa"/>
              <w:end w:w="160" w:type="dxa"/>
            </w:tcMar>
          </w:tcPr>
          <w:p>
            <w:pPr>
              <w:spacing w:before="0" w:after="0" w:line="252" w:lineRule="auto"/>
            </w:pPr>
            <w:r>
              <w:rPr>
                <w:b/>
                <w:color w:val="0B2545"/>
                <w:sz w:val="19"/>
              </w:rPr>
              <w:t>Novelty / production value:</w:t>
            </w:r>
            <w:r>
              <w:t xml:space="preserve"> The strongest contribution is not only the model. It is the auditable pipeline: schema validation, feature provenance, locked temporal splits, event-source composition reports, negative-duration audit tables, model cards, and reproducible artifact manifests.</w:t>
            </w:r>
          </w:p>
        </w:tc>
      </w:tr>
    </w:tbl>
    <w:p>
      <w:pPr>
        <w:pStyle w:val="Heading1"/>
        <w:spacing w:before="140" w:after="40" w:line="259" w:lineRule="auto"/>
      </w:pPr>
      <w:r>
        <w:t>5. Project Plan and Timeline</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428"/>
        <w:gridCol w:w="1428"/>
        <w:gridCol w:w="1428"/>
        <w:gridCol w:w="1428"/>
        <w:gridCol w:w="1428"/>
        <w:gridCol w:w="1428"/>
        <w:gridCol w:w="1428"/>
      </w:tblGrid>
      <w:tr>
        <w:tc>
          <w:tcPr>
            <w:tcW w:type="dxa" w:w="3384"/>
            <w:vAlign w:val="center"/>
            <w:tcMar>
              <w:top w:w="80" w:type="dxa"/>
              <w:start w:w="100" w:type="dxa"/>
              <w:bottom w:w="80" w:type="dxa"/>
              <w:end w:w="100" w:type="dxa"/>
            </w:tcMar>
            <w:shd w:fill="0B2545"/>
          </w:tcPr>
          <w:p>
            <w:pPr>
              <w:spacing w:before="0" w:after="0" w:line="240" w:lineRule="auto"/>
              <w:jc w:val="center"/>
            </w:pPr>
            <w:r/>
            <w:r>
              <w:rPr>
                <w:rFonts w:ascii="Calibri" w:hAnsi="Calibri" w:eastAsia="Calibri"/>
                <w:b/>
                <w:color w:val="FFFFFF"/>
                <w:sz w:val="16"/>
              </w:rPr>
              <w:t>Phase</w:t>
            </w:r>
          </w:p>
        </w:tc>
        <w:tc>
          <w:tcPr>
            <w:tcW w:type="dxa" w:w="950"/>
            <w:vAlign w:val="center"/>
            <w:tcMar>
              <w:top w:w="80" w:type="dxa"/>
              <w:start w:w="100" w:type="dxa"/>
              <w:bottom w:w="80" w:type="dxa"/>
              <w:end w:w="100" w:type="dxa"/>
            </w:tcMar>
            <w:shd w:fill="0B2545"/>
          </w:tcPr>
          <w:p>
            <w:pPr>
              <w:spacing w:before="0" w:after="0" w:line="240" w:lineRule="auto"/>
              <w:jc w:val="center"/>
            </w:pPr>
            <w:r/>
            <w:r>
              <w:rPr>
                <w:rFonts w:ascii="Calibri" w:hAnsi="Calibri" w:eastAsia="Calibri"/>
                <w:b/>
                <w:color w:val="FFFFFF"/>
                <w:sz w:val="16"/>
              </w:rPr>
              <w:t>W1-2</w:t>
            </w:r>
          </w:p>
        </w:tc>
        <w:tc>
          <w:tcPr>
            <w:tcW w:type="dxa" w:w="950"/>
            <w:vAlign w:val="center"/>
            <w:tcMar>
              <w:top w:w="80" w:type="dxa"/>
              <w:start w:w="100" w:type="dxa"/>
              <w:bottom w:w="80" w:type="dxa"/>
              <w:end w:w="100" w:type="dxa"/>
            </w:tcMar>
            <w:shd w:fill="0B2545"/>
          </w:tcPr>
          <w:p>
            <w:pPr>
              <w:spacing w:before="0" w:after="0" w:line="240" w:lineRule="auto"/>
              <w:jc w:val="center"/>
            </w:pPr>
            <w:r/>
            <w:r>
              <w:rPr>
                <w:rFonts w:ascii="Calibri" w:hAnsi="Calibri" w:eastAsia="Calibri"/>
                <w:b/>
                <w:color w:val="FFFFFF"/>
                <w:sz w:val="16"/>
              </w:rPr>
              <w:t>W3-4</w:t>
            </w:r>
          </w:p>
        </w:tc>
        <w:tc>
          <w:tcPr>
            <w:tcW w:type="dxa" w:w="950"/>
            <w:vAlign w:val="center"/>
            <w:tcMar>
              <w:top w:w="80" w:type="dxa"/>
              <w:start w:w="100" w:type="dxa"/>
              <w:bottom w:w="80" w:type="dxa"/>
              <w:end w:w="100" w:type="dxa"/>
            </w:tcMar>
            <w:shd w:fill="0B2545"/>
          </w:tcPr>
          <w:p>
            <w:pPr>
              <w:spacing w:before="0" w:after="0" w:line="240" w:lineRule="auto"/>
              <w:jc w:val="center"/>
            </w:pPr>
            <w:r/>
            <w:r>
              <w:rPr>
                <w:rFonts w:ascii="Calibri" w:hAnsi="Calibri" w:eastAsia="Calibri"/>
                <w:b/>
                <w:color w:val="FFFFFF"/>
                <w:sz w:val="16"/>
              </w:rPr>
              <w:t>W5-6</w:t>
            </w:r>
          </w:p>
        </w:tc>
        <w:tc>
          <w:tcPr>
            <w:tcW w:type="dxa" w:w="950"/>
            <w:vAlign w:val="center"/>
            <w:tcMar>
              <w:top w:w="80" w:type="dxa"/>
              <w:start w:w="100" w:type="dxa"/>
              <w:bottom w:w="80" w:type="dxa"/>
              <w:end w:w="100" w:type="dxa"/>
            </w:tcMar>
            <w:shd w:fill="0B2545"/>
          </w:tcPr>
          <w:p>
            <w:pPr>
              <w:spacing w:before="0" w:after="0" w:line="240" w:lineRule="auto"/>
              <w:jc w:val="center"/>
            </w:pPr>
            <w:r/>
            <w:r>
              <w:rPr>
                <w:rFonts w:ascii="Calibri" w:hAnsi="Calibri" w:eastAsia="Calibri"/>
                <w:b/>
                <w:color w:val="FFFFFF"/>
                <w:sz w:val="16"/>
              </w:rPr>
              <w:t>W7-8</w:t>
            </w:r>
          </w:p>
        </w:tc>
        <w:tc>
          <w:tcPr>
            <w:tcW w:type="dxa" w:w="1094"/>
            <w:vAlign w:val="center"/>
            <w:tcMar>
              <w:top w:w="80" w:type="dxa"/>
              <w:start w:w="100" w:type="dxa"/>
              <w:bottom w:w="80" w:type="dxa"/>
              <w:end w:w="100" w:type="dxa"/>
            </w:tcMar>
            <w:shd w:fill="0B2545"/>
          </w:tcPr>
          <w:p>
            <w:pPr>
              <w:spacing w:before="0" w:after="0" w:line="240" w:lineRule="auto"/>
              <w:jc w:val="center"/>
            </w:pPr>
            <w:r/>
            <w:r>
              <w:rPr>
                <w:rFonts w:ascii="Calibri" w:hAnsi="Calibri" w:eastAsia="Calibri"/>
                <w:b/>
                <w:color w:val="FFFFFF"/>
                <w:sz w:val="16"/>
              </w:rPr>
              <w:t>W9-10</w:t>
            </w:r>
          </w:p>
        </w:tc>
        <w:tc>
          <w:tcPr>
            <w:tcW w:type="dxa" w:w="1094"/>
            <w:vAlign w:val="center"/>
            <w:tcMar>
              <w:top w:w="80" w:type="dxa"/>
              <w:start w:w="100" w:type="dxa"/>
              <w:bottom w:w="80" w:type="dxa"/>
              <w:end w:w="100" w:type="dxa"/>
            </w:tcMar>
            <w:shd w:fill="0B2545"/>
          </w:tcPr>
          <w:p>
            <w:pPr>
              <w:spacing w:before="0" w:after="0" w:line="240" w:lineRule="auto"/>
              <w:jc w:val="center"/>
            </w:pPr>
            <w:r/>
            <w:r>
              <w:rPr>
                <w:rFonts w:ascii="Calibri" w:hAnsi="Calibri" w:eastAsia="Calibri"/>
                <w:b/>
                <w:color w:val="FFFFFF"/>
                <w:sz w:val="16"/>
              </w:rPr>
              <w:t>W11-12</w:t>
            </w:r>
          </w:p>
        </w:tc>
      </w:tr>
      <w:tr>
        <w:tc>
          <w:tcPr>
            <w:tcW w:type="dxa" w:w="338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Dataset audit, schema validation, artifact manifest</w:t>
            </w:r>
          </w:p>
        </w:tc>
        <w:tc>
          <w:tcPr>
            <w:tcW w:type="dxa" w:w="950"/>
            <w:vAlign w:val="center"/>
            <w:tcMar>
              <w:top w:w="80" w:type="dxa"/>
              <w:start w:w="100" w:type="dxa"/>
              <w:bottom w:w="80" w:type="dxa"/>
              <w:end w:w="100" w:type="dxa"/>
            </w:tcMar>
            <w:shd w:fill="D9EAF7"/>
          </w:tcPr>
          <w:p>
            <w:pPr>
              <w:spacing w:before="0" w:after="0" w:line="240" w:lineRule="auto"/>
              <w:jc w:val="center"/>
            </w:pPr>
            <w:r/>
            <w:r>
              <w:rPr>
                <w:rFonts w:ascii="Calibri" w:hAnsi="Calibri" w:eastAsia="Calibri"/>
                <w:b w:val="0"/>
                <w:sz w:val="16"/>
              </w:rPr>
              <w:t>X</w:t>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109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109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r>
      <w:tr>
        <w:tc>
          <w:tcPr>
            <w:tcW w:type="dxa" w:w="338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Label construction and leakage-safe feature set</w:t>
            </w:r>
          </w:p>
        </w:tc>
        <w:tc>
          <w:tcPr>
            <w:tcW w:type="dxa" w:w="950"/>
            <w:vAlign w:val="center"/>
            <w:tcMar>
              <w:top w:w="80" w:type="dxa"/>
              <w:start w:w="100" w:type="dxa"/>
              <w:bottom w:w="80" w:type="dxa"/>
              <w:end w:w="100" w:type="dxa"/>
            </w:tcMar>
            <w:shd w:fill="D9EAF7"/>
          </w:tcPr>
          <w:p>
            <w:pPr>
              <w:spacing w:before="0" w:after="0" w:line="240" w:lineRule="auto"/>
              <w:jc w:val="center"/>
            </w:pPr>
            <w:r/>
            <w:r>
              <w:rPr>
                <w:rFonts w:ascii="Calibri" w:hAnsi="Calibri" w:eastAsia="Calibri"/>
                <w:b w:val="0"/>
                <w:sz w:val="16"/>
              </w:rPr>
              <w:t>X</w:t>
            </w:r>
          </w:p>
        </w:tc>
        <w:tc>
          <w:tcPr>
            <w:tcW w:type="dxa" w:w="950"/>
            <w:vAlign w:val="center"/>
            <w:tcMar>
              <w:top w:w="80" w:type="dxa"/>
              <w:start w:w="100" w:type="dxa"/>
              <w:bottom w:w="80" w:type="dxa"/>
              <w:end w:w="100" w:type="dxa"/>
            </w:tcMar>
            <w:shd w:fill="D9EAF7"/>
          </w:tcPr>
          <w:p>
            <w:pPr>
              <w:spacing w:before="0" w:after="0" w:line="240" w:lineRule="auto"/>
              <w:jc w:val="center"/>
            </w:pPr>
            <w:r/>
            <w:r>
              <w:rPr>
                <w:rFonts w:ascii="Calibri" w:hAnsi="Calibri" w:eastAsia="Calibri"/>
                <w:b w:val="0"/>
                <w:sz w:val="16"/>
              </w:rPr>
              <w:t>X</w:t>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109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109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r>
      <w:tr>
        <w:tc>
          <w:tcPr>
            <w:tcW w:type="dxa" w:w="338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EDA, event-source composition, Kaplan-Meier curves</w:t>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950"/>
            <w:vAlign w:val="center"/>
            <w:tcMar>
              <w:top w:w="80" w:type="dxa"/>
              <w:start w:w="100" w:type="dxa"/>
              <w:bottom w:w="80" w:type="dxa"/>
              <w:end w:w="100" w:type="dxa"/>
            </w:tcMar>
            <w:shd w:fill="D9EAF7"/>
          </w:tcPr>
          <w:p>
            <w:pPr>
              <w:spacing w:before="0" w:after="0" w:line="240" w:lineRule="auto"/>
              <w:jc w:val="center"/>
            </w:pPr>
            <w:r/>
            <w:r>
              <w:rPr>
                <w:rFonts w:ascii="Calibri" w:hAnsi="Calibri" w:eastAsia="Calibri"/>
                <w:b w:val="0"/>
                <w:sz w:val="16"/>
              </w:rPr>
              <w:t>X</w:t>
            </w:r>
          </w:p>
        </w:tc>
        <w:tc>
          <w:tcPr>
            <w:tcW w:type="dxa" w:w="950"/>
            <w:vAlign w:val="center"/>
            <w:tcMar>
              <w:top w:w="80" w:type="dxa"/>
              <w:start w:w="100" w:type="dxa"/>
              <w:bottom w:w="80" w:type="dxa"/>
              <w:end w:w="100" w:type="dxa"/>
            </w:tcMar>
            <w:shd w:fill="D9EAF7"/>
          </w:tcPr>
          <w:p>
            <w:pPr>
              <w:spacing w:before="0" w:after="0" w:line="240" w:lineRule="auto"/>
              <w:jc w:val="center"/>
            </w:pPr>
            <w:r/>
            <w:r>
              <w:rPr>
                <w:rFonts w:ascii="Calibri" w:hAnsi="Calibri" w:eastAsia="Calibri"/>
                <w:b w:val="0"/>
                <w:sz w:val="16"/>
              </w:rPr>
              <w:t>X</w:t>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109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109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r>
      <w:tr>
        <w:tc>
          <w:tcPr>
            <w:tcW w:type="dxa" w:w="338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Cox PH, calibration, baseline evaluation</w:t>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950"/>
            <w:vAlign w:val="center"/>
            <w:tcMar>
              <w:top w:w="80" w:type="dxa"/>
              <w:start w:w="100" w:type="dxa"/>
              <w:bottom w:w="80" w:type="dxa"/>
              <w:end w:w="100" w:type="dxa"/>
            </w:tcMar>
            <w:shd w:fill="D9EAF7"/>
          </w:tcPr>
          <w:p>
            <w:pPr>
              <w:spacing w:before="0" w:after="0" w:line="240" w:lineRule="auto"/>
              <w:jc w:val="center"/>
            </w:pPr>
            <w:r/>
            <w:r>
              <w:rPr>
                <w:rFonts w:ascii="Calibri" w:hAnsi="Calibri" w:eastAsia="Calibri"/>
                <w:b w:val="0"/>
                <w:sz w:val="16"/>
              </w:rPr>
              <w:t>X</w:t>
            </w:r>
          </w:p>
        </w:tc>
        <w:tc>
          <w:tcPr>
            <w:tcW w:type="dxa" w:w="950"/>
            <w:vAlign w:val="center"/>
            <w:tcMar>
              <w:top w:w="80" w:type="dxa"/>
              <w:start w:w="100" w:type="dxa"/>
              <w:bottom w:w="80" w:type="dxa"/>
              <w:end w:w="100" w:type="dxa"/>
            </w:tcMar>
            <w:shd w:fill="D9EAF7"/>
          </w:tcPr>
          <w:p>
            <w:pPr>
              <w:spacing w:before="0" w:after="0" w:line="240" w:lineRule="auto"/>
              <w:jc w:val="center"/>
            </w:pPr>
            <w:r/>
            <w:r>
              <w:rPr>
                <w:rFonts w:ascii="Calibri" w:hAnsi="Calibri" w:eastAsia="Calibri"/>
                <w:b w:val="0"/>
                <w:sz w:val="16"/>
              </w:rPr>
              <w:t>X</w:t>
            </w:r>
          </w:p>
        </w:tc>
        <w:tc>
          <w:tcPr>
            <w:tcW w:type="dxa" w:w="109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109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r>
      <w:tr>
        <w:tc>
          <w:tcPr>
            <w:tcW w:type="dxa" w:w="338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Discrete-time multi-task survival model</w:t>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950"/>
            <w:vAlign w:val="center"/>
            <w:tcMar>
              <w:top w:w="80" w:type="dxa"/>
              <w:start w:w="100" w:type="dxa"/>
              <w:bottom w:w="80" w:type="dxa"/>
              <w:end w:w="100" w:type="dxa"/>
            </w:tcMar>
            <w:shd w:fill="D9EAF7"/>
          </w:tcPr>
          <w:p>
            <w:pPr>
              <w:spacing w:before="0" w:after="0" w:line="240" w:lineRule="auto"/>
              <w:jc w:val="center"/>
            </w:pPr>
            <w:r/>
            <w:r>
              <w:rPr>
                <w:rFonts w:ascii="Calibri" w:hAnsi="Calibri" w:eastAsia="Calibri"/>
                <w:b w:val="0"/>
                <w:sz w:val="16"/>
              </w:rPr>
              <w:t>X</w:t>
            </w:r>
          </w:p>
        </w:tc>
        <w:tc>
          <w:tcPr>
            <w:tcW w:type="dxa" w:w="1094"/>
            <w:vAlign w:val="center"/>
            <w:tcMar>
              <w:top w:w="80" w:type="dxa"/>
              <w:start w:w="100" w:type="dxa"/>
              <w:bottom w:w="80" w:type="dxa"/>
              <w:end w:w="100" w:type="dxa"/>
            </w:tcMar>
            <w:shd w:fill="D9EAF7"/>
          </w:tcPr>
          <w:p>
            <w:pPr>
              <w:spacing w:before="0" w:after="0" w:line="240" w:lineRule="auto"/>
              <w:jc w:val="center"/>
            </w:pPr>
            <w:r/>
            <w:r>
              <w:rPr>
                <w:rFonts w:ascii="Calibri" w:hAnsi="Calibri" w:eastAsia="Calibri"/>
                <w:b w:val="0"/>
                <w:sz w:val="16"/>
              </w:rPr>
              <w:t>X</w:t>
            </w:r>
          </w:p>
        </w:tc>
        <w:tc>
          <w:tcPr>
            <w:tcW w:type="dxa" w:w="109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r>
      <w:tr>
        <w:tc>
          <w:tcPr>
            <w:tcW w:type="dxa" w:w="338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EPSS reconciliation, write-up, model card, final QA</w:t>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95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r>
          </w:p>
        </w:tc>
        <w:tc>
          <w:tcPr>
            <w:tcW w:type="dxa" w:w="1094"/>
            <w:vAlign w:val="center"/>
            <w:tcMar>
              <w:top w:w="80" w:type="dxa"/>
              <w:start w:w="100" w:type="dxa"/>
              <w:bottom w:w="80" w:type="dxa"/>
              <w:end w:w="100" w:type="dxa"/>
            </w:tcMar>
            <w:shd w:fill="D9EAF7"/>
          </w:tcPr>
          <w:p>
            <w:pPr>
              <w:spacing w:before="0" w:after="0" w:line="240" w:lineRule="auto"/>
              <w:jc w:val="center"/>
            </w:pPr>
            <w:r/>
            <w:r>
              <w:rPr>
                <w:rFonts w:ascii="Calibri" w:hAnsi="Calibri" w:eastAsia="Calibri"/>
                <w:b w:val="0"/>
                <w:sz w:val="16"/>
              </w:rPr>
              <w:t>X</w:t>
            </w:r>
          </w:p>
        </w:tc>
        <w:tc>
          <w:tcPr>
            <w:tcW w:type="dxa" w:w="1094"/>
            <w:vAlign w:val="center"/>
            <w:tcMar>
              <w:top w:w="80" w:type="dxa"/>
              <w:start w:w="100" w:type="dxa"/>
              <w:bottom w:w="80" w:type="dxa"/>
              <w:end w:w="100" w:type="dxa"/>
            </w:tcMar>
            <w:shd w:fill="D9EAF7"/>
          </w:tcPr>
          <w:p>
            <w:pPr>
              <w:spacing w:before="0" w:after="0" w:line="240" w:lineRule="auto"/>
              <w:jc w:val="center"/>
            </w:pPr>
            <w:r/>
            <w:r>
              <w:rPr>
                <w:rFonts w:ascii="Calibri" w:hAnsi="Calibri" w:eastAsia="Calibri"/>
                <w:b w:val="0"/>
                <w:sz w:val="16"/>
              </w:rPr>
              <w:t>X</w:t>
            </w:r>
          </w:p>
        </w:tc>
      </w:tr>
    </w:tbl>
    <w:p>
      <w:pPr>
        <w:spacing w:after="40"/>
      </w:pPr>
    </w:p>
    <w:p>
      <w:pPr>
        <w:pStyle w:val="Heading1"/>
        <w:spacing w:before="140" w:after="40" w:line="259" w:lineRule="auto"/>
      </w:pPr>
      <w:r>
        <w:t>6. Hardware and Software Resources</w:t>
      </w:r>
    </w:p>
    <w:p>
      <w:pPr>
        <w:spacing w:before="0" w:after="40" w:line="250" w:lineRule="auto"/>
        <w:ind w:left="317" w:hanging="173"/>
      </w:pPr>
      <w:r>
        <w:rPr>
          <w:b/>
          <w:color w:val="1F4E79"/>
        </w:rPr>
        <w:t xml:space="preserve">Resource 1: </w:t>
      </w:r>
      <w:r>
        <w:t>Hardware: standard workstation/laptop with sufficient storage for parquet datasets; GPU optional for later neural experiments.</w:t>
      </w:r>
    </w:p>
    <w:p>
      <w:pPr>
        <w:spacing w:before="0" w:after="40" w:line="250" w:lineRule="auto"/>
        <w:ind w:left="317" w:hanging="173"/>
      </w:pPr>
      <w:r>
        <w:rPr>
          <w:b/>
          <w:color w:val="1F4E79"/>
        </w:rPr>
        <w:t xml:space="preserve">Resource 2: </w:t>
      </w:r>
      <w:r>
        <w:t>Core software: Python 3.12+, pandas, pyarrow, numpy, scikit-learn, lifelines, pytest, matplotlib, seaborn.</w:t>
      </w:r>
    </w:p>
    <w:p>
      <w:pPr>
        <w:spacing w:before="0" w:after="40" w:line="250" w:lineRule="auto"/>
        <w:ind w:left="317" w:hanging="173"/>
      </w:pPr>
      <w:r>
        <w:rPr>
          <w:b/>
          <w:color w:val="1F4E79"/>
        </w:rPr>
        <w:t xml:space="preserve">Resource 3: </w:t>
      </w:r>
      <w:r>
        <w:t>Optional software: scikit-survival for survival metrics/RSF; pycox/PyTorch for discrete-time neural survival models.</w:t>
      </w:r>
    </w:p>
    <w:p>
      <w:pPr>
        <w:spacing w:before="0" w:after="40" w:line="250" w:lineRule="auto"/>
        <w:ind w:left="317" w:hanging="173"/>
      </w:pPr>
      <w:r>
        <w:rPr>
          <w:b/>
          <w:color w:val="1F4E79"/>
        </w:rPr>
        <w:t xml:space="preserve">Resource 4: </w:t>
      </w:r>
      <w:r>
        <w:t>Data artifacts: nine handover parquets under `dataset_extraction/out` plus local EPSS history; generated artifacts excluded from Git.</w:t>
      </w:r>
    </w:p>
    <w:p>
      <w:pPr>
        <w:spacing w:before="0" w:after="40" w:line="250" w:lineRule="auto"/>
        <w:ind w:left="317" w:hanging="173"/>
      </w:pPr>
      <w:r>
        <w:rPr>
          <w:b/>
          <w:color w:val="1F4E79"/>
        </w:rPr>
        <w:t xml:space="preserve">Resource 5: </w:t>
      </w:r>
      <w:r>
        <w:t>Engineering workflow: GitHub repository, tests, schema validation, locked splits, artifact manifests, and model documentation.</w:t>
      </w:r>
    </w:p>
    <w:p>
      <w:pPr>
        <w:pStyle w:val="Heading1"/>
        <w:spacing w:before="140" w:after="40" w:line="259" w:lineRule="auto"/>
      </w:pPr>
      <w:r>
        <w:t>7. Risk Management</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331"/>
        <w:gridCol w:w="3331"/>
        <w:gridCol w:w="3331"/>
      </w:tblGrid>
      <w:tr>
        <w:tc>
          <w:tcPr>
            <w:tcW w:type="dxa" w:w="2520"/>
            <w:vAlign w:val="center"/>
            <w:tcMar>
              <w:top w:w="80" w:type="dxa"/>
              <w:start w:w="100" w:type="dxa"/>
              <w:bottom w:w="80" w:type="dxa"/>
              <w:end w:w="100" w:type="dxa"/>
            </w:tcMar>
            <w:shd w:fill="8A5A00"/>
          </w:tcPr>
          <w:p>
            <w:pPr>
              <w:spacing w:before="0" w:after="0" w:line="240" w:lineRule="auto"/>
              <w:jc w:val="center"/>
            </w:pPr>
            <w:r/>
            <w:r>
              <w:rPr>
                <w:rFonts w:ascii="Calibri" w:hAnsi="Calibri" w:eastAsia="Calibri"/>
                <w:b/>
                <w:color w:val="FFFFFF"/>
                <w:sz w:val="16"/>
              </w:rPr>
              <w:t>Risk</w:t>
            </w:r>
          </w:p>
        </w:tc>
        <w:tc>
          <w:tcPr>
            <w:tcW w:type="dxa" w:w="1080"/>
            <w:vAlign w:val="center"/>
            <w:tcMar>
              <w:top w:w="80" w:type="dxa"/>
              <w:start w:w="100" w:type="dxa"/>
              <w:bottom w:w="80" w:type="dxa"/>
              <w:end w:w="100" w:type="dxa"/>
            </w:tcMar>
            <w:shd w:fill="8A5A00"/>
          </w:tcPr>
          <w:p>
            <w:pPr>
              <w:spacing w:before="0" w:after="0" w:line="240" w:lineRule="auto"/>
              <w:jc w:val="center"/>
            </w:pPr>
            <w:r/>
            <w:r>
              <w:rPr>
                <w:rFonts w:ascii="Calibri" w:hAnsi="Calibri" w:eastAsia="Calibri"/>
                <w:b/>
                <w:color w:val="FFFFFF"/>
                <w:sz w:val="16"/>
              </w:rPr>
              <w:t>Impact</w:t>
            </w:r>
          </w:p>
        </w:tc>
        <w:tc>
          <w:tcPr>
            <w:tcW w:type="dxa" w:w="5544"/>
            <w:vAlign w:val="center"/>
            <w:tcMar>
              <w:top w:w="80" w:type="dxa"/>
              <w:start w:w="100" w:type="dxa"/>
              <w:bottom w:w="80" w:type="dxa"/>
              <w:end w:w="100" w:type="dxa"/>
            </w:tcMar>
            <w:shd w:fill="8A5A00"/>
          </w:tcPr>
          <w:p>
            <w:pPr>
              <w:spacing w:before="0" w:after="0" w:line="240" w:lineRule="auto"/>
              <w:jc w:val="center"/>
            </w:pPr>
            <w:r/>
            <w:r>
              <w:rPr>
                <w:rFonts w:ascii="Calibri" w:hAnsi="Calibri" w:eastAsia="Calibri"/>
                <w:b/>
                <w:color w:val="FFFFFF"/>
                <w:sz w:val="16"/>
              </w:rPr>
              <w:t>Mitigation</w:t>
            </w:r>
          </w:p>
        </w:tc>
      </w:tr>
      <w:tr>
        <w:tc>
          <w:tcPr>
            <w:tcW w:type="dxa" w:w="252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Temporal leakage</w:t>
            </w:r>
          </w:p>
        </w:tc>
        <w:tc>
          <w:tcPr>
            <w:tcW w:type="dxa" w:w="1080"/>
            <w:vAlign w:val="center"/>
            <w:tcMar>
              <w:top w:w="80" w:type="dxa"/>
              <w:start w:w="100" w:type="dxa"/>
              <w:bottom w:w="80" w:type="dxa"/>
              <w:end w:w="100" w:type="dxa"/>
            </w:tcMar>
          </w:tcPr>
          <w:p>
            <w:pPr>
              <w:spacing w:before="0" w:after="0" w:line="240" w:lineRule="auto"/>
              <w:jc w:val="center"/>
            </w:pPr>
            <w:r/>
            <w:r>
              <w:rPr>
                <w:rFonts w:ascii="Calibri" w:hAnsi="Calibri" w:eastAsia="Calibri"/>
                <w:b w:val="0"/>
                <w:sz w:val="16"/>
              </w:rPr>
              <w:t>High</w:t>
            </w:r>
          </w:p>
        </w:tc>
        <w:tc>
          <w:tcPr>
            <w:tcW w:type="dxa" w:w="554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Restrict primary features to publication-time data; document any post-publication experiments separately.</w:t>
            </w:r>
          </w:p>
        </w:tc>
      </w:tr>
      <w:tr>
        <w:tc>
          <w:tcPr>
            <w:tcW w:type="dxa" w:w="252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PoC label dominance</w:t>
            </w:r>
          </w:p>
        </w:tc>
        <w:tc>
          <w:tcPr>
            <w:tcW w:type="dxa" w:w="1080"/>
            <w:vAlign w:val="center"/>
            <w:tcMar>
              <w:top w:w="80" w:type="dxa"/>
              <w:start w:w="100" w:type="dxa"/>
              <w:bottom w:w="80" w:type="dxa"/>
              <w:end w:w="100" w:type="dxa"/>
            </w:tcMar>
          </w:tcPr>
          <w:p>
            <w:pPr>
              <w:spacing w:before="0" w:after="0" w:line="240" w:lineRule="auto"/>
              <w:jc w:val="center"/>
            </w:pPr>
            <w:r/>
            <w:r>
              <w:rPr>
                <w:rFonts w:ascii="Calibri" w:hAnsi="Calibri" w:eastAsia="Calibri"/>
                <w:b w:val="0"/>
                <w:sz w:val="16"/>
              </w:rPr>
              <w:t>High</w:t>
            </w:r>
          </w:p>
        </w:tc>
        <w:tc>
          <w:tcPr>
            <w:tcW w:type="dxa" w:w="554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Report event-source composition; frame results as public weaponization, not purely in-wild exploitation.</w:t>
            </w:r>
          </w:p>
        </w:tc>
      </w:tr>
      <w:tr>
        <w:tc>
          <w:tcPr>
            <w:tcW w:type="dxa" w:w="252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Informative censoring</w:t>
            </w:r>
          </w:p>
        </w:tc>
        <w:tc>
          <w:tcPr>
            <w:tcW w:type="dxa" w:w="1080"/>
            <w:vAlign w:val="center"/>
            <w:tcMar>
              <w:top w:w="80" w:type="dxa"/>
              <w:start w:w="100" w:type="dxa"/>
              <w:bottom w:w="80" w:type="dxa"/>
              <w:end w:w="100" w:type="dxa"/>
            </w:tcMar>
          </w:tcPr>
          <w:p>
            <w:pPr>
              <w:spacing w:before="0" w:after="0" w:line="240" w:lineRule="auto"/>
              <w:jc w:val="center"/>
            </w:pPr>
            <w:r/>
            <w:r>
              <w:rPr>
                <w:rFonts w:ascii="Calibri" w:hAnsi="Calibri" w:eastAsia="Calibri"/>
                <w:b w:val="0"/>
                <w:sz w:val="16"/>
              </w:rPr>
              <w:t>Medium</w:t>
            </w:r>
          </w:p>
        </w:tc>
        <w:tc>
          <w:tcPr>
            <w:tcW w:type="dxa" w:w="554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Use survival methods and discuss censoring assumptions explicitly.</w:t>
            </w:r>
          </w:p>
        </w:tc>
      </w:tr>
      <w:tr>
        <w:tc>
          <w:tcPr>
            <w:tcW w:type="dxa" w:w="252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Schema drift</w:t>
            </w:r>
          </w:p>
        </w:tc>
        <w:tc>
          <w:tcPr>
            <w:tcW w:type="dxa" w:w="1080"/>
            <w:vAlign w:val="center"/>
            <w:tcMar>
              <w:top w:w="80" w:type="dxa"/>
              <w:start w:w="100" w:type="dxa"/>
              <w:bottom w:w="80" w:type="dxa"/>
              <w:end w:w="100" w:type="dxa"/>
            </w:tcMar>
          </w:tcPr>
          <w:p>
            <w:pPr>
              <w:spacing w:before="0" w:after="0" w:line="240" w:lineRule="auto"/>
              <w:jc w:val="center"/>
            </w:pPr>
            <w:r/>
            <w:r>
              <w:rPr>
                <w:rFonts w:ascii="Calibri" w:hAnsi="Calibri" w:eastAsia="Calibri"/>
                <w:b w:val="0"/>
                <w:sz w:val="16"/>
              </w:rPr>
              <w:t>Medium</w:t>
            </w:r>
          </w:p>
        </w:tc>
        <w:tc>
          <w:tcPr>
            <w:tcW w:type="dxa" w:w="554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Validate required columns and write artifact manifests before modeling.</w:t>
            </w:r>
          </w:p>
        </w:tc>
      </w:tr>
      <w:tr>
        <w:tc>
          <w:tcPr>
            <w:tcW w:type="dxa" w:w="252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Large EPSS history</w:t>
            </w:r>
          </w:p>
        </w:tc>
        <w:tc>
          <w:tcPr>
            <w:tcW w:type="dxa" w:w="1080"/>
            <w:vAlign w:val="center"/>
            <w:tcMar>
              <w:top w:w="80" w:type="dxa"/>
              <w:start w:w="100" w:type="dxa"/>
              <w:bottom w:w="80" w:type="dxa"/>
              <w:end w:w="100" w:type="dxa"/>
            </w:tcMar>
          </w:tcPr>
          <w:p>
            <w:pPr>
              <w:spacing w:before="0" w:after="0" w:line="240" w:lineRule="auto"/>
              <w:jc w:val="center"/>
            </w:pPr>
            <w:r/>
            <w:r>
              <w:rPr>
                <w:rFonts w:ascii="Calibri" w:hAnsi="Calibri" w:eastAsia="Calibri"/>
                <w:b w:val="0"/>
                <w:sz w:val="16"/>
              </w:rPr>
              <w:t>Medium</w:t>
            </w:r>
          </w:p>
        </w:tc>
        <w:tc>
          <w:tcPr>
            <w:tcW w:type="dxa" w:w="554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Use predicate pushdown and extract only publication-time or horizon-specific values.</w:t>
            </w:r>
          </w:p>
        </w:tc>
      </w:tr>
      <w:tr>
        <w:tc>
          <w:tcPr>
            <w:tcW w:type="dxa" w:w="252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Model overfitting</w:t>
            </w:r>
          </w:p>
        </w:tc>
        <w:tc>
          <w:tcPr>
            <w:tcW w:type="dxa" w:w="1080"/>
            <w:vAlign w:val="center"/>
            <w:tcMar>
              <w:top w:w="80" w:type="dxa"/>
              <w:start w:w="100" w:type="dxa"/>
              <w:bottom w:w="80" w:type="dxa"/>
              <w:end w:w="100" w:type="dxa"/>
            </w:tcMar>
          </w:tcPr>
          <w:p>
            <w:pPr>
              <w:spacing w:before="0" w:after="0" w:line="240" w:lineRule="auto"/>
              <w:jc w:val="center"/>
            </w:pPr>
            <w:r/>
            <w:r>
              <w:rPr>
                <w:rFonts w:ascii="Calibri" w:hAnsi="Calibri" w:eastAsia="Calibri"/>
                <w:b w:val="0"/>
                <w:sz w:val="16"/>
              </w:rPr>
              <w:t>High</w:t>
            </w:r>
          </w:p>
        </w:tc>
        <w:tc>
          <w:tcPr>
            <w:tcW w:type="dxa" w:w="554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Use locked time-based split, baselines, calibration, and multiple metrics.</w:t>
            </w:r>
          </w:p>
        </w:tc>
      </w:tr>
      <w:tr>
        <w:tc>
          <w:tcPr>
            <w:tcW w:type="dxa" w:w="2520"/>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Deep model complexity</w:t>
            </w:r>
          </w:p>
        </w:tc>
        <w:tc>
          <w:tcPr>
            <w:tcW w:type="dxa" w:w="1080"/>
            <w:vAlign w:val="center"/>
            <w:tcMar>
              <w:top w:w="80" w:type="dxa"/>
              <w:start w:w="100" w:type="dxa"/>
              <w:bottom w:w="80" w:type="dxa"/>
              <w:end w:w="100" w:type="dxa"/>
            </w:tcMar>
          </w:tcPr>
          <w:p>
            <w:pPr>
              <w:spacing w:before="0" w:after="0" w:line="240" w:lineRule="auto"/>
              <w:jc w:val="center"/>
            </w:pPr>
            <w:r/>
            <w:r>
              <w:rPr>
                <w:rFonts w:ascii="Calibri" w:hAnsi="Calibri" w:eastAsia="Calibri"/>
                <w:b w:val="0"/>
                <w:sz w:val="16"/>
              </w:rPr>
              <w:t>Medium</w:t>
            </w:r>
          </w:p>
        </w:tc>
        <w:tc>
          <w:tcPr>
            <w:tcW w:type="dxa" w:w="5544"/>
            <w:vAlign w:val="center"/>
            <w:tcMar>
              <w:top w:w="80" w:type="dxa"/>
              <w:start w:w="100" w:type="dxa"/>
              <w:bottom w:w="80" w:type="dxa"/>
              <w:end w:w="100" w:type="dxa"/>
            </w:tcMar>
          </w:tcPr>
          <w:p>
            <w:pPr>
              <w:spacing w:before="0" w:after="0" w:line="240" w:lineRule="auto"/>
              <w:jc w:val="left"/>
            </w:pPr>
            <w:r/>
            <w:r>
              <w:rPr>
                <w:rFonts w:ascii="Calibri" w:hAnsi="Calibri" w:eastAsia="Calibri"/>
                <w:b w:val="0"/>
                <w:sz w:val="16"/>
              </w:rPr>
              <w:t>Promote neural model only after baselines and data checks are stable.</w:t>
            </w:r>
          </w:p>
        </w:tc>
      </w:tr>
    </w:tbl>
    <w:p>
      <w:pPr>
        <w:spacing w:after="40"/>
      </w:pPr>
    </w:p>
    <w:p>
      <w:pPr>
        <w:pStyle w:val="Heading1"/>
        <w:spacing w:before="140" w:after="40" w:line="259" w:lineRule="auto"/>
      </w:pPr>
      <w:r>
        <w:t>8. References (IEEE Style)</w:t>
      </w:r>
    </w:p>
    <w:p>
      <w:pPr>
        <w:spacing w:before="0" w:after="80" w:line="259" w:lineRule="auto"/>
        <w:ind w:left="259" w:hanging="259"/>
      </w:pPr>
      <w:r>
        <w:t>[1] FIRST.Org, "Exploit Prediction Scoring System (EPSS)," EPSS Special Interest Group, 2026. [Online]. Available: https://www.first.org/epss/</w:t>
      </w:r>
    </w:p>
    <w:p>
      <w:pPr>
        <w:spacing w:before="0" w:after="80" w:line="259" w:lineRule="auto"/>
        <w:ind w:left="259" w:hanging="259"/>
      </w:pPr>
      <w:r>
        <w:t>[2] J. Jacobs, S. Romanosky, B. Edwards, M. Roytman, and I. Adjerid, "Exploit Prediction Scoring System (EPSS)," arXiv:1908.04856, 2019.</w:t>
      </w:r>
    </w:p>
    <w:p>
      <w:pPr>
        <w:spacing w:before="0" w:after="80" w:line="259" w:lineRule="auto"/>
        <w:ind w:left="259" w:hanging="259"/>
      </w:pPr>
      <w:r>
        <w:t>[3] J. Jacobs, S. Romanosky, O. Suciu, B. Edwards, and A. Sarabi, "Enhancing Vulnerability Prioritization: Data-Driven Exploit Predictions with Community-Driven Insights," arXiv:2302.14172, 2023.</w:t>
      </w:r>
    </w:p>
    <w:p>
      <w:pPr>
        <w:spacing w:before="0" w:after="80" w:line="259" w:lineRule="auto"/>
        <w:ind w:left="259" w:hanging="259"/>
      </w:pPr>
      <w:r>
        <w:t>[4] O. Suciu, C. Nelson, Z. Lyu, T. Bao, and T. Dumitras, "Expected Exploitability: Predicting the Development of Functional Vulnerability Exploits," arXiv:2102.07869, 2021.</w:t>
      </w:r>
    </w:p>
    <w:p>
      <w:pPr>
        <w:spacing w:before="0" w:after="80" w:line="259" w:lineRule="auto"/>
        <w:ind w:left="259" w:hanging="259"/>
      </w:pPr>
      <w:r>
        <w:t>[5] B. L. Bullough, A. K. Yanchenko, C. L. Smith, and J. R. Zipkin, "Predicting Exploitation of Disclosed Software Vulnerabilities Using Open-source Data," arXiv:1707.08015, 2017.</w:t>
      </w:r>
    </w:p>
    <w:p>
      <w:pPr>
        <w:spacing w:before="0" w:after="80" w:line="259" w:lineRule="auto"/>
        <w:ind w:left="259" w:hanging="259"/>
      </w:pPr>
      <w:r>
        <w:t>[6] H. Ishwaran, U. B. Kogalur, E. H. Blackstone, and M. S. Lauer, "Random Survival Forests," arXiv:0811.1645, 2008.</w:t>
      </w:r>
    </w:p>
    <w:p>
      <w:pPr>
        <w:spacing w:before="0" w:after="80" w:line="259" w:lineRule="auto"/>
        <w:ind w:left="259" w:hanging="259"/>
      </w:pPr>
      <w:r>
        <w:t>[7] J. Lee, M. Zame, J. Yoon, and M. van der Schaar, "DeepHit: A Deep Learning Approach to Survival Analysis with Competing Risks," AAAI, 2018.</w:t>
      </w:r>
    </w:p>
    <w:p>
      <w:pPr>
        <w:spacing w:before="0" w:after="80" w:line="259" w:lineRule="auto"/>
        <w:ind w:left="259" w:hanging="259"/>
      </w:pPr>
      <w:r>
        <w:t>[8] S. P?lsterl, "Evaluating Survival Models," scikit-survival documentation, 2026. [Online]. Available: https://scikit-survival.readthedocs.io/</w:t>
      </w:r>
    </w:p>
    <w:p>
      <w:pPr>
        <w:spacing w:before="0" w:after="80" w:line="259" w:lineRule="auto"/>
        <w:ind w:left="259" w:hanging="259"/>
      </w:pPr>
      <w:r>
        <w:t>[9] C. Davidson-Pilon, "lifelines: survival analysis in Python," lifelines documentation, 2026. [Online]. Available: https://lifelines.readthedocs.io/</w:t>
      </w:r>
    </w:p>
    <w:p>
      <w:pPr>
        <w:spacing w:before="0" w:after="80" w:line="259" w:lineRule="auto"/>
        <w:ind w:left="259" w:hanging="259"/>
      </w:pPr>
      <w:r>
        <w:t>[10] H. Kvamme, "pycox: Survival analysis with PyTorch," GitHub repository, 2026. [Online]. Available: https://github.com/havakv/pycox</w:t>
      </w: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95959"/>
        <w:sz w:val="16"/>
      </w:rPr>
      <w:t>Prepared for MSc project planning - revise placeholders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595959"/>
        <w:sz w:val="17"/>
      </w:rPr>
      <w:t>Temporal Exploit Prediction | Problem Specification and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9191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25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6F8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