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6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A Formal Framework for Perspectival Organization</w:t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color w:val="111111"/>
          <w:sz w:val="38"/>
          <w:szCs w:val="38"/>
        </w:rPr>
        <w:t xml:space="preserve">within the Akimov Theory of Unity</w:t>
      </w:r>
    </w:p>
    <w:p>
      <w:pPr>
        <w:spacing w:before="0" w:after="220"/>
        <w:jc w:val="left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Minimal Dynamical Structure, Empirical Neutrality, and Structural Constraints</w:t>
      </w:r>
    </w:p>
    <w:p>
      <w:pPr>
        <w:pBdr>
          <w:bottom w:val="single" w:color="BBBBBB" w:sz="3" w:space="1"/>
        </w:pBdr>
        <w:spacing w:before="140" w:after="140"/>
      </w:pPr>
      <w:r>
        <w:t xml:space="preserve"/>
      </w:r>
    </w:p>
    <w:p>
      <w:pPr>
        <w:spacing w:before="48" w:after="48"/>
        <w:jc w:val="left"/>
      </w:pPr>
      <w:r>
        <w:rPr>
          <w:rFonts w:ascii="Arial" w:cs="Arial" w:eastAsia="Arial" w:hAnsi="Arial"/>
          <w:b/>
          <w:bCs/>
          <w:color w:val="111111"/>
          <w:sz w:val="23"/>
          <w:szCs w:val="23"/>
        </w:rPr>
        <w:t xml:space="preserve">Author: Ing. Alex Akimov</w:t>
      </w:r>
    </w:p>
    <w:p>
      <w:pPr>
        <w:spacing w:before="48" w:after="48"/>
        <w:jc w:val="left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Independent Researcher  ·  2026</w:t>
      </w:r>
    </w:p>
    <w:p>
      <w:pPr>
        <w:spacing w:before="48" w:after="48"/>
        <w:jc w:val="left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Conceptual Framework: Akimov Theory of Unity (ToU)</w:t>
      </w:r>
    </w:p>
    <w:p>
      <w:pPr>
        <w:spacing w:before="48" w:after="48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 type: Formal specification  ·  DOI: https://doi.org/10.5281/zenodo.19198910</w:t>
      </w:r>
    </w:p>
    <w:p>
      <w:pPr>
        <w:pBdr>
          <w:bottom w:val="single" w:color="BBBBBB" w:sz="3" w:space="1"/>
        </w:pBdr>
        <w:spacing w:before="140" w:after="140"/>
      </w:pPr>
      <w:r>
        <w:t xml:space="preserve"/>
      </w:r>
    </w:p>
    <w:p>
      <w:pPr>
        <w:pStyle w:val="Heading1"/>
        <w:pBdr>
          <w:bottom w:val="single" w:color="CCCCCC" w:sz="3" w:space="1"/>
        </w:pBdr>
        <w:spacing w:before="420" w:after="140"/>
      </w:pPr>
      <w:r>
        <w:rPr>
          <w:rFonts w:ascii="Arial" w:cs="Arial" w:eastAsia="Arial" w:hAnsi="Arial"/>
          <w:b/>
          <w:bCs/>
          <w:color w:val="111111"/>
          <w:sz w:val="27"/>
          <w:szCs w:val="27"/>
        </w:rPr>
        <w:t xml:space="preserve">Section 1 — Introduction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document defines the minimal formal structure underlying the Akimov Theory of Unity (ToU) as a dynamical system.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Its purpose is to provide a precise, implementation-independent description of the system’s core components, state representation, and evolution rules. The focus is strictly on formalization, not interpretation.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document does not: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assert ontological claims about the nature of reality,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define phenomenological or semantic properties,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specify physical instantiation of the model.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Instead, it establishes a minimal mathematical framework from which higher-level interpretations, empirical mappings, and implementations may be derived.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This work extends the previously defined ToU Framework (v1.x series) by isolating and formalizing the irreducible structural core of the system.</w:t>
      </w:r>
    </w:p>
    <w:p>
      <w:pPr>
        <w:pStyle w:val="Heading1"/>
        <w:pBdr>
          <w:bottom w:val="single" w:color="CCCCCC" w:sz="3" w:space="1"/>
        </w:pBdr>
        <w:spacing w:before="420" w:after="140"/>
      </w:pPr>
      <w:r>
        <w:rPr>
          <w:rFonts w:ascii="Arial" w:cs="Arial" w:eastAsia="Arial" w:hAnsi="Arial"/>
          <w:b/>
          <w:bCs/>
          <w:color w:val="111111"/>
          <w:sz w:val="27"/>
          <w:szCs w:val="27"/>
        </w:rPr>
        <w:t xml:space="preserve">Section 2 — Minimal System Definition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2.1  State Spaces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system is defined in terms of two interacting state spaces: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M_w: the world model state space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M_s: the self model state space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These spaces represent abstract dynamical structures and are not restricted to a specific implementation.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Each state space may be defined over a general domain: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11111"/>
          <w:sz w:val="22"/>
          <w:szCs w:val="22"/>
        </w:rPr>
        <w:t xml:space="preserve">M_w ∈ 𝒮_w,    M_s ∈ 𝒮_s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where 𝒮_w and 𝒮_s are admissible state spaces.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 assumption is made about dimensionality, metric structure, or representational format.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state spaces are not assumed to be linear or metric unless explicitly specified.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 this stage, the state spaces are treated as abstract sets of admissible states without assuming additional algebraic, topological, or metric structure.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2.2  State Representation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At time t, the system is represented by a composite state: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11111"/>
          <w:sz w:val="22"/>
          <w:szCs w:val="22"/>
        </w:rPr>
        <w:t xml:space="preserve">M(t) = (M_w(t), M_s(t))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representation may be vector-valued, function-valued, or more general, provided that a state difference operator can be defined.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composite representation does not imply independence of components, but serves as a formal decomposition.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2.3  System State Space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system evolves in: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11111"/>
          <w:sz w:val="22"/>
          <w:szCs w:val="22"/>
        </w:rPr>
        <w:t xml:space="preserve">𝒮 = 𝒮_w × 𝒮_s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interaction between M_w and M_s is introduced through dynamics (Section 3).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All system evolution must be expressible over 𝒮.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2.4  Minimal Structural Requirement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A well-defined notion of state change must exist: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11111"/>
          <w:sz w:val="22"/>
          <w:szCs w:val="22"/>
        </w:rPr>
        <w:t xml:space="preserve">ΔM(t) = D(M(t), M(t−1))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operator D must allow comparison between states and support stability definitions.</w:t>
      </w:r>
    </w:p>
    <w:p>
      <w:pPr>
        <w:pStyle w:val="Heading1"/>
        <w:pBdr>
          <w:bottom w:val="single" w:color="CCCCCC" w:sz="3" w:space="1"/>
        </w:pBdr>
        <w:spacing w:before="420" w:after="140"/>
      </w:pPr>
      <w:r>
        <w:rPr>
          <w:rFonts w:ascii="Arial" w:cs="Arial" w:eastAsia="Arial" w:hAnsi="Arial"/>
          <w:b/>
          <w:bCs/>
          <w:color w:val="111111"/>
          <w:sz w:val="27"/>
          <w:szCs w:val="27"/>
        </w:rPr>
        <w:t xml:space="preserve">Section 3 — Dynamics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3.1  System Evolution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11111"/>
          <w:sz w:val="22"/>
          <w:szCs w:val="22"/>
        </w:rPr>
        <w:t xml:space="preserve">M(t+1) = F(M(t), I(t))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M(t) ∈ 𝒮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I(t) ∈ ℐ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 : 𝒮 × ℐ → 𝒮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The system is a discrete-time dynamical system.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3.2  Coupling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11111"/>
          <w:sz w:val="22"/>
          <w:szCs w:val="22"/>
        </w:rPr>
        <w:t xml:space="preserve">M_w(t+1) = F_w(M_w, M_s, I)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11111"/>
          <w:sz w:val="22"/>
          <w:szCs w:val="22"/>
        </w:rPr>
        <w:t xml:space="preserve">M_s(t+1) = F_s(M_w, M_s, I)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Coupling is non-linear, non-symmetric, and jointly consistent with F.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3.3  Input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I(t) ∈ ℐ is a generalized perturbation.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3.4  State Difference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11111"/>
          <w:sz w:val="22"/>
          <w:szCs w:val="22"/>
        </w:rPr>
        <w:t xml:space="preserve">ΔM(t) = D(M(t), M(t−1))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3.5  Time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Discrete time: t ∈ ℤ</w:t>
      </w:r>
    </w:p>
    <w:p>
      <w:pPr>
        <w:pStyle w:val="Heading1"/>
        <w:pBdr>
          <w:bottom w:val="single" w:color="CCCCCC" w:sz="3" w:space="1"/>
        </w:pBdr>
        <w:spacing w:before="420" w:after="140"/>
      </w:pPr>
      <w:r>
        <w:rPr>
          <w:rFonts w:ascii="Arial" w:cs="Arial" w:eastAsia="Arial" w:hAnsi="Arial"/>
          <w:b/>
          <w:bCs/>
          <w:color w:val="111111"/>
          <w:sz w:val="27"/>
          <w:szCs w:val="27"/>
        </w:rPr>
        <w:t xml:space="preserve">Section 4 — Attractor Definition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4.1  Convergence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11111"/>
          <w:sz w:val="22"/>
          <w:szCs w:val="22"/>
        </w:rPr>
        <w:t xml:space="preserve">N(ΔM(t)) &lt; ε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4.2  Attractor</w:t>
      </w: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color w:val="111111"/>
          <w:sz w:val="22"/>
          <w:szCs w:val="22"/>
        </w:rPr>
        <w:t xml:space="preserve">N(ΔM(t)) → 0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4.3  Stability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Defined locally via bounded perturbations.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4.4  Response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Measured via return to attractor region.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22222"/>
          <w:sz w:val="23"/>
          <w:szCs w:val="23"/>
        </w:rPr>
        <w:t xml:space="preserve">4.5  Interpretation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Purely dynamical — no semantic claims.</w:t>
      </w:r>
    </w:p>
    <w:p>
      <w:pPr>
        <w:pStyle w:val="Heading1"/>
        <w:pBdr>
          <w:bottom w:val="single" w:color="CCCCCC" w:sz="3" w:space="1"/>
        </w:pBdr>
        <w:spacing w:before="420" w:after="140"/>
      </w:pPr>
      <w:r>
        <w:rPr>
          <w:rFonts w:ascii="Arial" w:cs="Arial" w:eastAsia="Arial" w:hAnsi="Arial"/>
          <w:b/>
          <w:bCs/>
          <w:color w:val="111111"/>
          <w:sz w:val="27"/>
          <w:szCs w:val="27"/>
        </w:rPr>
        <w:t xml:space="preserve">Section 5 — Minimal Assumptions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Defines existence of M_w, M_s, 𝒮, F, D, N without additional structure.</w:t>
      </w:r>
    </w:p>
    <w:p>
      <w:pPr>
        <w:pStyle w:val="Heading1"/>
        <w:pBdr>
          <w:bottom w:val="single" w:color="CCCCCC" w:sz="3" w:space="1"/>
        </w:pBdr>
        <w:spacing w:before="420" w:after="140"/>
      </w:pPr>
      <w:r>
        <w:rPr>
          <w:rFonts w:ascii="Arial" w:cs="Arial" w:eastAsia="Arial" w:hAnsi="Arial"/>
          <w:b/>
          <w:bCs/>
          <w:color w:val="111111"/>
          <w:sz w:val="27"/>
          <w:szCs w:val="27"/>
        </w:rPr>
        <w:t xml:space="preserve">Section 6 — Scope and Limits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Not a physical theory in current form. No empirical procedures defined.</w:t>
      </w:r>
    </w:p>
    <w:p>
      <w:pPr>
        <w:pStyle w:val="Heading1"/>
        <w:pBdr>
          <w:bottom w:val="single" w:color="CCCCCC" w:sz="3" w:space="1"/>
        </w:pBdr>
        <w:spacing w:before="420" w:after="140"/>
      </w:pPr>
      <w:r>
        <w:rPr>
          <w:rFonts w:ascii="Arial" w:cs="Arial" w:eastAsia="Arial" w:hAnsi="Arial"/>
          <w:b/>
          <w:bCs/>
          <w:color w:val="111111"/>
          <w:sz w:val="27"/>
          <w:szCs w:val="27"/>
        </w:rPr>
        <w:t xml:space="preserve">Section 7 — Higher Layers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Interpretation and applications are separate from core.</w:t>
      </w:r>
    </w:p>
    <w:p>
      <w:pPr>
        <w:pStyle w:val="Heading1"/>
        <w:pBdr>
          <w:bottom w:val="single" w:color="CCCCCC" w:sz="3" w:space="1"/>
        </w:pBdr>
        <w:spacing w:before="420" w:after="140"/>
      </w:pPr>
      <w:r>
        <w:rPr>
          <w:rFonts w:ascii="Arial" w:cs="Arial" w:eastAsia="Arial" w:hAnsi="Arial"/>
          <w:b/>
          <w:bCs/>
          <w:color w:val="111111"/>
          <w:sz w:val="27"/>
          <w:szCs w:val="27"/>
        </w:rPr>
        <w:t xml:space="preserve">Section 8 — Structural Closure</w:t>
      </w:r>
    </w:p>
    <w:p>
      <w:pPr>
        <w:spacing w:before="70" w:after="7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Framework is structurally closed and self-contained.</w:t>
      </w:r>
    </w:p>
    <w:p>
      <w:pPr>
        <w:pBdr>
          <w:bottom w:val="single" w:color="BBBBBB" w:sz="3" w:space="1"/>
        </w:pBdr>
        <w:spacing w:before="140" w:after="140"/>
      </w:pPr>
      <w:r>
        <w:t xml:space="preserve"/>
      </w:r>
    </w:p>
    <w:p>
      <w:pPr>
        <w:spacing w:before="40" w:after="0"/>
        <w:jc w:val="left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© 2026 Ing. Alex Akimov. All rights reserved. All theoretical contributions are attributable solely to the author.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20" w:after="140"/>
      <w:outlineLvl w:val="0"/>
    </w:pPr>
    <w:rPr>
      <w:rFonts w:ascii="Arial" w:cs="Arial" w:eastAsia="Arial" w:hAnsi="Arial"/>
      <w:b/>
      <w:bCs/>
      <w:color w:val="111111"/>
      <w:sz w:val="27"/>
      <w:szCs w:val="27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2222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2026-03-29T21:48:37.735Z</dcterms:created>
  <dcterms:modified xsi:type="dcterms:W3CDTF">2026-03-29T21:48:37.736Z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