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before="0" w:after="80"/>
        <w:jc w:val="center"/>
      </w:pPr>
      <w:r>
        <w:rPr>
          <w:rFonts w:ascii="Arial" w:cs="Arial" w:eastAsia="Arial" w:hAnsi="Arial"/>
          <w:b/>
          <w:bCs/>
          <w:color w:val="1F3864"/>
          <w:sz w:val="42"/>
          <w:szCs w:val="42"/>
        </w:rPr>
        <w:t xml:space="preserve">AKIMOV THEORY OF UNITY (ToU)</w:t>
      </w:r>
    </w:p>
    <w:p>
      <w:pPr>
        <w:spacing w:before="60" w:after="60"/>
        <w:jc w:val="center"/>
      </w:pPr>
      <w:r>
        <w:rPr>
          <w:rFonts w:ascii="Arial" w:cs="Arial" w:eastAsia="Arial" w:hAnsi="Arial"/>
          <w:i/>
          <w:iCs/>
          <w:color w:val="2E5090"/>
          <w:sz w:val="30"/>
          <w:szCs w:val="30"/>
        </w:rPr>
        <w:t xml:space="preserve">A Research Programme on Perspectival Organization</w:t>
      </w:r>
    </w:p>
    <w:p>
      <w:pPr>
        <w:spacing w:before="0" w:after="200"/>
        <w:jc w:val="center"/>
      </w:pPr>
      <w:r>
        <w:rPr>
          <w:rFonts w:ascii="Arial" w:cs="Arial" w:eastAsia="Arial" w:hAnsi="Arial"/>
          <w:i/>
          <w:iCs/>
          <w:color w:val="2E5090"/>
          <w:sz w:val="30"/>
          <w:szCs w:val="30"/>
        </w:rPr>
        <w:t xml:space="preserve">and AI-Assisted Philosophical Methodology</w:t>
      </w:r>
    </w:p>
    <w:p>
      <w:pPr>
        <w:pBdr>
          <w:bottom w:val="single" w:color="2E75B6" w:sz="6" w:space="1"/>
        </w:pBdr>
        <w:spacing w:before="240" w:after="240"/>
      </w:pPr>
      <w:r>
        <w:t xml:space="preserve"/>
      </w:r>
    </w:p>
    <w:p>
      <w:pPr>
        <w:spacing w:before="60" w:after="60"/>
        <w:jc w:val="center"/>
      </w:pPr>
      <w:r>
        <w:rPr>
          <w:rFonts w:ascii="Arial" w:cs="Arial" w:eastAsia="Arial" w:hAnsi="Arial"/>
          <w:b/>
          <w:bCs/>
          <w:sz w:val="26"/>
          <w:szCs w:val="26"/>
        </w:rPr>
        <w:t xml:space="preserve">Author: Ing. Alex Akimov</w:t>
      </w:r>
    </w:p>
    <w:p>
      <w:pPr>
        <w:spacing w:before="60" w:after="60"/>
        <w:jc w:val="center"/>
      </w:pPr>
      <w:r>
        <w:rPr>
          <w:rFonts w:ascii="Arial" w:cs="Arial" w:eastAsia="Arial" w:hAnsi="Arial"/>
          <w:i/>
          <w:iCs/>
          <w:sz w:val="22"/>
          <w:szCs w:val="22"/>
        </w:rPr>
        <w:t xml:space="preserve">Conceptual Framework: Akimov Theory of Unity (ToU)</w:t>
      </w:r>
    </w:p>
    <w:p>
      <w:pPr>
        <w:spacing w:before="60" w:after="60"/>
        <w:jc w:val="center"/>
      </w:pPr>
      <w:r>
        <w:rPr>
          <w:rFonts w:ascii="Arial" w:cs="Arial" w:eastAsia="Arial" w:hAnsi="Arial"/>
          <w:i/>
          <w:iCs/>
          <w:sz w:val="22"/>
          <w:szCs w:val="22"/>
        </w:rPr>
        <w:t xml:space="preserve">Part of the broader project: Akimov Theory of Everything (ToE)</w:t>
      </w:r>
    </w:p>
    <w:p>
      <w:pPr>
        <w:spacing w:before="60" w:after="60"/>
        <w:jc w:val="center"/>
      </w:pPr>
      <w:r>
        <w:rPr>
          <w:rFonts w:ascii="Arial" w:cs="Arial" w:eastAsia="Arial" w:hAnsi="Arial"/>
          <w:i/>
          <w:iCs/>
          <w:sz w:val="22"/>
          <w:szCs w:val="22"/>
        </w:rPr>
        <w:t xml:space="preserve">Method: Philosophical analysis, dynamical systems modelling,</w:t>
      </w:r>
    </w:p>
    <w:p>
      <w:pPr>
        <w:spacing w:before="60" w:after="60"/>
        <w:jc w:val="center"/>
      </w:pPr>
      <w:r>
        <w:rPr>
          <w:rFonts w:ascii="Arial" w:cs="Arial" w:eastAsia="Arial" w:hAnsi="Arial"/>
          <w:i/>
          <w:iCs/>
          <w:sz w:val="22"/>
          <w:szCs w:val="22"/>
        </w:rPr>
        <w:t xml:space="preserve">AI-assisted philosophical stress testing</w:t>
      </w:r>
    </w:p>
    <w:p>
      <w:pPr>
        <w:spacing w:before="60" w:after="60"/>
        <w:jc w:val="center"/>
      </w:pPr>
      <w:r>
        <w:rPr>
          <w:rFonts w:ascii="Arial" w:cs="Arial" w:eastAsia="Arial" w:hAnsi="Arial"/>
          <w:color w:val="666666"/>
          <w:sz w:val="20"/>
          <w:szCs w:val="20"/>
        </w:rPr>
        <w:t xml:space="preserve">Version: 1.1 · © 2026 Ing. Alex Akimov. All rights reserved.</w:t>
      </w:r>
    </w:p>
    <w:p>
      <w:pPr>
        <w:pBdr>
          <w:bottom w:val="single" w:color="2E75B6" w:sz="6" w:space="1"/>
        </w:pBdr>
        <w:spacing w:before="240" w:after="240"/>
      </w:pPr>
      <w:r>
        <w:t xml:space="preserve"/>
      </w:r>
    </w:p>
    <w:p>
      <w:pPr>
        <w:pStyle w:val="Heading2"/>
        <w:spacing w:before="320" w:after="110"/>
      </w:pPr>
      <w:r>
        <w:rPr>
          <w:rFonts w:ascii="Arial" w:cs="Arial" w:eastAsia="Arial" w:hAnsi="Arial"/>
          <w:b/>
          <w:bCs/>
          <w:color w:val="2E5090"/>
          <w:sz w:val="25"/>
          <w:szCs w:val="25"/>
        </w:rPr>
        <w:t xml:space="preserve">Methodological Note</w:t>
      </w:r>
    </w:p>
    <w:p>
      <w:pPr>
        <w:shd w:fill="F0F4FA" w:val="clear"/>
        <w:spacing w:before="100" w:after="100"/>
        <w:ind w:left="360" w:right="360"/>
        <w:jc w:val="both"/>
      </w:pPr>
      <w:r>
        <w:rPr>
          <w:rFonts w:ascii="Arial" w:cs="Arial" w:eastAsia="Arial" w:hAnsi="Arial"/>
          <w:sz w:val="22"/>
          <w:szCs w:val="22"/>
        </w:rPr>
        <w:t xml:space="preserve">All concepts, hypotheses, research directions, and theoretical formulations contained in this work are the exclusive intellectual property of Ing. Alex Akimov and form part of his philosophical project, the Akimov Theory of Unity (ToU), which is itself a component of the broader Akimov Theory of Everything (ToE). AI systems were used exclusively as analytical instruments for generating alternative formulations and potential objections. They did not contribute original theoretical content and do not hold any authorship status. All theoretical contributions are attributable solely to the author.</w:t>
      </w:r>
    </w:p>
    <w:p>
      <w:pPr>
        <w:spacing w:before="1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Master Abstract</w:t>
      </w:r>
    </w:p>
    <w:p>
      <w:pPr>
        <w:shd w:fill="EEF6EE" w:val="clear"/>
        <w:spacing w:before="100" w:after="100"/>
        <w:ind w:left="360" w:right="360"/>
        <w:jc w:val="both"/>
      </w:pPr>
      <w:r>
        <w:rPr>
          <w:rFonts w:ascii="Arial" w:cs="Arial" w:eastAsia="Arial" w:hAnsi="Arial"/>
          <w:sz w:val="22"/>
          <w:szCs w:val="22"/>
        </w:rPr>
        <w:t xml:space="preserve">The Akimov Theory of Unity (ToU) is developed as a research programme in the Lakatosian sense: a structured, progressive inquiry into the dynamical conditions under which perspectival organization arises in complex systems. Perspectival organization is defined as the property of a system whose world-model (M_w) and self-model (M_s) joint dynamics converge to a stable attractor — the perspective attractor — satisfying simultaneously the conditions of functional integration, global coordination, and reflexive stabilization. This monograph integrates the six constitutive contributions of the programme into a single unified presentation.</w:t>
      </w:r>
    </w:p>
    <w:p>
      <w:pPr>
        <w:spacing w:before="80" w:after="80"/>
        <w:jc w:val="both"/>
      </w:pPr>
      <w:r>
        <w:rPr>
          <w:rFonts w:ascii="Arial" w:cs="Arial" w:eastAsia="Arial" w:hAnsi="Arial"/>
          <w:sz w:val="22"/>
          <w:szCs w:val="22"/>
        </w:rPr>
        <w:t xml:space="preserve">Section 1 establishes the conceptual foundation: the three-layer model of perspectival organization, the formal characterization of reflexive stabilization, and the relationship of ToU to major existing theories of consciousness. Section 2 analyses the epistemological limits of the programme: the detection problem arising from the structural asymmetry between the first-person character of perspective and the third-person character of all external observation. Section 3 develops the mechanistic account: the minimal coupled (M_w, M_s) dynamical model, the critical coupling threshold, and the phase transition to the perspective attractor. Section 4 derives the empirical consequences: four falsifiable dynamical signatures of the perspective transition, experimental paradigms for testing them, and protocols for both biological and artificial systems. Section 5 analyses the methodological structure of the programme: its Lakatosian architecture, the role of AI-assisted philosophical stress testing, and its progression from conceptual analysis to empirically testable prediction. Section 6 subjects the programme to systematic critical scrutiny across conceptual, epistemological, methodological, and empirical dimensions, specifies the conditions of failure, and evaluates the programme from a Lakatosian perspective.</w:t>
      </w:r>
    </w:p>
    <w:p>
      <w:pPr>
        <w:spacing w:before="80" w:after="80"/>
        <w:jc w:val="both"/>
      </w:pPr>
      <w:r>
        <w:rPr>
          <w:rFonts w:ascii="Arial" w:cs="Arial" w:eastAsia="Arial" w:hAnsi="Arial"/>
          <w:sz w:val="22"/>
          <w:szCs w:val="22"/>
        </w:rPr>
        <w:t xml:space="preserve">The programme's hard core — the thesis that perspectival organization arises as a reflexively stabilized (M_w, M_s) attractor — is maintained invariant throughout. Its claims are epistemically qualified: the programme identifies necessary dynamical organizational conditions for perspectival organization without claiming to resolve the hard problem of phenomenal consciousness. The assessment of ToU as a progressive research programme remains provisional, pending empirical investigation.</w:t>
      </w:r>
    </w:p>
    <w:p>
      <w:pPr>
        <w:spacing w:before="80" w:after="80"/>
        <w:jc w:val="both"/>
      </w:pPr>
      <w:r>
        <w:rPr>
          <w:rFonts w:ascii="Arial" w:cs="Arial" w:eastAsia="Arial" w:hAnsi="Arial"/>
          <w:sz w:val="22"/>
          <w:szCs w:val="22"/>
        </w:rPr>
        <w:t xml:space="preserve">Keywords: perspectival organization, perspective attractor, reflexive stabilization, world-model, self-model, phase transition, detection problem, dynamical signatures, research programme, AI-assisted methodology, Akimov Theory of Unity.</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Introduction: The ToU Research Programme</w:t>
      </w:r>
    </w:p>
    <w:p>
      <w:pPr>
        <w:spacing w:before="80" w:after="80"/>
        <w:jc w:val="both"/>
      </w:pPr>
      <w:r>
        <w:rPr>
          <w:rFonts w:ascii="Arial" w:cs="Arial" w:eastAsia="Arial" w:hAnsi="Arial"/>
          <w:sz w:val="22"/>
          <w:szCs w:val="22"/>
        </w:rPr>
        <w:t xml:space="preserve">The Akimov Theory of Unity (ToU) is not an isolated philosophical theory, but a research programme in the Lakatosian sense, whose aim is to identify the dynamical conditions under which perspectival organization arises in complex systems. Across six interconnected contributions, the programme advances from conceptual clarification to empirical testability: defining perspectival organization as a dynamic organizational state, identifying the epistemological limits of its detection, proposing a minimal mechanistic model, deriving empirically testable predictions, and reflecting on the methodological structure that organises this progression.</w:t>
      </w:r>
    </w:p>
    <w:p>
      <w:pPr>
        <w:spacing w:before="80" w:after="80"/>
        <w:jc w:val="both"/>
      </w:pPr>
      <w:r>
        <w:rPr>
          <w:rFonts w:ascii="Arial" w:cs="Arial" w:eastAsia="Arial" w:hAnsi="Arial"/>
          <w:sz w:val="22"/>
          <w:szCs w:val="22"/>
        </w:rPr>
        <w:t xml:space="preserve">A characteristic feature of the programme is its systematic use of AI systems as instruments of philosophical stress testing — not as sources of theoretical content, but as instruments of continuous critical scrutiny across a range of argumentative perspectives, enabling iterative refinement prior to peer review. In this sense, ToU may illustrate an early instance of AI-assisted philosophical methodology, with broader applicability to the philosophy of mind remaining to be assessed.</w:t>
      </w:r>
    </w:p>
    <w:p>
      <w:pPr>
        <w:pBdr>
          <w:left w:val="single" w:color="E8A000" w:sz="12" w:space="10"/>
        </w:pBdr>
        <w:shd w:fill="FFF8E8" w:val="clear"/>
        <w:spacing w:before="120" w:after="120"/>
        <w:ind w:left="360" w:right="360"/>
        <w:jc w:val="both"/>
      </w:pPr>
      <w:r>
        <w:rPr>
          <w:rFonts w:ascii="Arial" w:cs="Arial" w:eastAsia="Arial" w:hAnsi="Arial"/>
          <w:b/>
          <w:bCs/>
          <w:i/>
          <w:iCs/>
          <w:color w:val="1F3864"/>
          <w:sz w:val="23"/>
          <w:szCs w:val="23"/>
        </w:rPr>
        <w:t xml:space="preserve">The contribution of the programme lies not only in its specific theoretical claims, but in its demonstration that philosophy of consciousness can be organised as a progressive research programme — one that connects conceptual analysis, formal modelling, and empirical investigation within a unified methodological framework.</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1 —</w:t>
      </w:r>
    </w:p>
    <w:p>
      <w:pPr>
        <w:pStyle w:val="Heading1"/>
        <w:pBdr>
          <w:bottom w:val="single" w:color="2E75B6" w:sz="4" w:space="1"/>
        </w:pBdr>
        <w:spacing w:before="500" w:after="180"/>
      </w:pPr>
      <w:r>
        <w:rPr>
          <w:rFonts w:ascii="Arial" w:cs="Arial" w:eastAsia="Arial" w:hAnsi="Arial"/>
          <w:b/>
          <w:bCs/>
          <w:color w:val="1F3864"/>
          <w:sz w:val="30"/>
          <w:szCs w:val="30"/>
        </w:rPr>
        <w:t xml:space="preserve">Section 1: Conceptual Foundation — Perspective as a Dynamic Organizational State</w:t>
      </w:r>
    </w:p>
    <w:p>
      <w:pPr>
        <w:pStyle w:val="Heading2"/>
        <w:spacing w:before="320" w:after="110"/>
      </w:pPr>
      <w:r>
        <w:rPr>
          <w:rFonts w:ascii="Arial" w:cs="Arial" w:eastAsia="Arial" w:hAnsi="Arial"/>
          <w:b/>
          <w:bCs/>
          <w:color w:val="2E5090"/>
          <w:sz w:val="25"/>
          <w:szCs w:val="25"/>
        </w:rPr>
        <w:t xml:space="preserve">1.1 The Central Thesis</w:t>
      </w:r>
    </w:p>
    <w:p>
      <w:pPr>
        <w:spacing w:before="80" w:after="80"/>
        <w:jc w:val="both"/>
      </w:pPr>
      <w:r>
        <w:rPr>
          <w:rFonts w:ascii="Arial" w:cs="Arial" w:eastAsia="Arial" w:hAnsi="Arial"/>
          <w:sz w:val="22"/>
          <w:szCs w:val="22"/>
        </w:rPr>
        <w:t xml:space="preserve">The central thesis of the Akimov Theory of Unity is that perspective arises as a qualitatively distinct dynamic organizational state — a stable attractor in the joint state space of the world-model (M_w) and self-model (M_s) — when the bidirectional coupling between M_w and M_s exceeds a critical threshold and three necessary conditions are jointly satisfied: functional integration of information (Layer 1), global coordination of processing (Layer 2), and reflexive stabilization of the (M_w, M_s) dynamics in a closed regulatory loop (Layer 3). This hard core thesis is maintained invariant throughout the programme.</w:t>
      </w:r>
    </w:p>
    <w:p>
      <w:pPr>
        <w:spacing w:before="80" w:after="80"/>
        <w:jc w:val="both"/>
      </w:pPr>
      <w:r>
        <w:rPr>
          <w:rFonts w:ascii="Arial" w:cs="Arial" w:eastAsia="Arial" w:hAnsi="Arial"/>
          <w:sz w:val="22"/>
          <w:szCs w:val="22"/>
        </w:rPr>
        <w:t xml:space="preserve">This reconceptualization has three important implications: perspectival organization is gradable and dynamically fragile (it can be lost under anaesthesia or brain injury); the explanatory target shifts from identifying a neural correlate to characterizing the dynamical conditions under which perspectival organization becomes possible; and the account is substrate-independent, applying equally to biological and artificial systems.</w:t>
      </w:r>
    </w:p>
    <w:p>
      <w:pPr>
        <w:pStyle w:val="Heading2"/>
        <w:spacing w:before="320" w:after="110"/>
      </w:pPr>
      <w:r>
        <w:rPr>
          <w:rFonts w:ascii="Arial" w:cs="Arial" w:eastAsia="Arial" w:hAnsi="Arial"/>
          <w:b/>
          <w:bCs/>
          <w:color w:val="2E5090"/>
          <w:sz w:val="25"/>
          <w:szCs w:val="25"/>
        </w:rPr>
        <w:t xml:space="preserve">1.2 The Three-Layer Model</w:t>
      </w:r>
    </w:p>
    <w:p>
      <w:pPr>
        <w:spacing w:before="80" w:after="80"/>
        <w:jc w:val="both"/>
      </w:pPr>
      <w:r>
        <w:rPr>
          <w:rFonts w:ascii="Arial" w:cs="Arial" w:eastAsia="Arial" w:hAnsi="Arial"/>
          <w:sz w:val="22"/>
          <w:szCs w:val="22"/>
        </w:rPr>
        <w:t xml:space="preserve">The three-layer model organizes the conditions for perspectival organization hierarchically. Each layer is necessary but not sufficient; only their joint satisfaction constitutes perspectival organization in the ToU sense.</w:t>
      </w:r>
    </w:p>
    <w:p>
      <w:pPr>
        <w:pStyle w:val="ListParagraph"/>
        <w:numPr>
          <w:ilvl w:val="0"/>
          <w:numId w:val="2"/>
        </w:numPr>
        <w:spacing w:before="50" w:after="50"/>
      </w:pPr>
      <w:r>
        <w:rPr>
          <w:rFonts w:ascii="Arial" w:cs="Arial" w:eastAsia="Arial" w:hAnsi="Arial"/>
          <w:sz w:val="22"/>
          <w:szCs w:val="22"/>
        </w:rPr>
        <w:t xml:space="preserve">Layer 1 — Functional Integration: The system integrates information from multiple sources into a coherent world-model (M_w). This condition is formally analogous to the requirements of Integrated Information Theory but treated as necessary rather than sufficient.</w:t>
      </w:r>
    </w:p>
    <w:p>
      <w:pPr>
        <w:pStyle w:val="ListParagraph"/>
        <w:numPr>
          <w:ilvl w:val="0"/>
          <w:numId w:val="2"/>
        </w:numPr>
        <w:spacing w:before="50" w:after="50"/>
      </w:pPr>
      <w:r>
        <w:rPr>
          <w:rFonts w:ascii="Arial" w:cs="Arial" w:eastAsia="Arial" w:hAnsi="Arial"/>
          <w:sz w:val="22"/>
          <w:szCs w:val="22"/>
        </w:rPr>
        <w:t xml:space="preserve">Layer 2 — Global Coordination: The integrated information is globally coordinated across the system's processing architecture, making representations available across the system. This is analogous to the global workspace condition but, again, treated as necessary rather than sufficient.</w:t>
      </w:r>
    </w:p>
    <w:p>
      <w:pPr>
        <w:pStyle w:val="ListParagraph"/>
        <w:numPr>
          <w:ilvl w:val="0"/>
          <w:numId w:val="2"/>
        </w:numPr>
        <w:spacing w:before="50" w:after="50"/>
      </w:pPr>
      <w:r>
        <w:rPr>
          <w:rFonts w:ascii="Arial" w:cs="Arial" w:eastAsia="Arial" w:hAnsi="Arial"/>
          <w:sz w:val="22"/>
          <w:szCs w:val="22"/>
        </w:rPr>
        <w:t xml:space="preserve">Layer 3 — Reflexive Stabilization: The world-model (M_w) and self-model (M_s) are bidirectionally coupled in a closed regulatory loop that converges to a stable attractor. This is the constitutive condition for perspectival organization in the ToU sense — the condition that transforms information integration into a stable point of view.</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The distinction between perspectival organization (a dynamical property of the (M_w, M_s) coupling regime, testable from the third-person perspective) and phenomenal consciousness (the first-person qualitative character of experience, not directly testable from outside) is maintained throughout this programme. ToU identifies the organizational conditions necessary for perspectival organization without claiming to resolve the hard problem of why those conditions are accompanied by phenomenal experience.</w:t>
      </w:r>
    </w:p>
    <w:p>
      <w:pPr>
        <w:pStyle w:val="Heading2"/>
        <w:spacing w:before="320" w:after="110"/>
      </w:pPr>
      <w:r>
        <w:rPr>
          <w:rFonts w:ascii="Arial" w:cs="Arial" w:eastAsia="Arial" w:hAnsi="Arial"/>
          <w:b/>
          <w:bCs/>
          <w:color w:val="2E5090"/>
          <w:sz w:val="25"/>
          <w:szCs w:val="25"/>
        </w:rPr>
        <w:t xml:space="preserve">1.3 Formal Characterization of Reflexive Stabilization</w:t>
      </w:r>
    </w:p>
    <w:p>
      <w:pPr>
        <w:spacing w:before="80" w:after="80"/>
        <w:jc w:val="both"/>
      </w:pPr>
      <w:r>
        <w:rPr>
          <w:rFonts w:ascii="Arial" w:cs="Arial" w:eastAsia="Arial" w:hAnsi="Arial"/>
          <w:sz w:val="22"/>
          <w:szCs w:val="22"/>
        </w:rPr>
        <w:t xml:space="preserve">Reflexive stabilization is formally characterized as the convergence of the (M_w, M_s) joint dynamics to a stable fixed point A* in their shared state space. The world-model and self-model are constituted by a set of representations M_w (the system's model of its environment) and M_s (the system's model of its own state, capacities, and orientational position). Reflexive stabilization obtains when their joint dynamics — governed by the bidirectional coupling — achieve a stable equilibrium that is maintained against perturbation.</w:t>
      </w:r>
    </w:p>
    <w:p>
      <w:pPr>
        <w:spacing w:before="80" w:after="80"/>
        <w:jc w:val="both"/>
      </w:pPr>
      <w:r>
        <w:rPr>
          <w:rFonts w:ascii="Arial" w:cs="Arial" w:eastAsia="Arial" w:hAnsi="Arial"/>
          <w:sz w:val="22"/>
          <w:szCs w:val="22"/>
        </w:rPr>
        <w:t xml:space="preserve">The formal conditions are: the joint (M_w, M_s) dynamics must admit a stable fixed point; the regulatory loop between M_w and M_s must be causally closed (M_s must causally influence M_w and vice versa, not merely represent it); and the fixed point must be an attractor with a non-trivial basin — the system must converge to it from a range of initial conditions, not only from a single precise starting state.</w:t>
      </w:r>
    </w:p>
    <w:p>
      <w:pPr>
        <w:pStyle w:val="Heading2"/>
        <w:spacing w:before="320" w:after="110"/>
      </w:pPr>
      <w:r>
        <w:rPr>
          <w:rFonts w:ascii="Arial" w:cs="Arial" w:eastAsia="Arial" w:hAnsi="Arial"/>
          <w:b/>
          <w:bCs/>
          <w:color w:val="2E5090"/>
          <w:sz w:val="25"/>
          <w:szCs w:val="25"/>
        </w:rPr>
        <w:t xml:space="preserve">1.4 Relationship to Existing Theories</w:t>
      </w:r>
    </w:p>
    <w:p>
      <w:pPr>
        <w:spacing w:before="80" w:after="80"/>
        <w:jc w:val="both"/>
      </w:pPr>
      <w:r>
        <w:rPr>
          <w:rFonts w:ascii="Arial" w:cs="Arial" w:eastAsia="Arial" w:hAnsi="Arial"/>
          <w:sz w:val="22"/>
          <w:szCs w:val="22"/>
        </w:rPr>
        <w:t xml:space="preserve">ToU is not intended to replace existing theories of consciousness but to complement and differentiate itself from them. Three frameworks are particularly relevant.</w:t>
      </w:r>
    </w:p>
    <w:p>
      <w:pPr>
        <w:spacing w:before="80" w:after="80"/>
        <w:jc w:val="both"/>
      </w:pPr>
      <w:r>
        <w:rPr>
          <w:rFonts w:ascii="Arial" w:cs="Arial" w:eastAsia="Arial" w:hAnsi="Arial"/>
          <w:sz w:val="22"/>
          <w:szCs w:val="22"/>
        </w:rPr>
        <w:t xml:space="preserve">Integrated Information Theory (IIT) proposes that consciousness corresponds to the quantity of integrated information Phi generated by a system. ToU incorporates the IIT intuition that information integration is a necessary condition for perspectival organization (Layer 1) but treats it as necessary rather than sufficient. The ToU additional condition — reflexive stabilization of the (M_w, M_s) attractor — is not captured by Phi, and the two frameworks generate partially overlapping but non-identical empirical predictions.</w:t>
      </w:r>
    </w:p>
    <w:p>
      <w:pPr>
        <w:spacing w:before="80" w:after="80"/>
        <w:jc w:val="both"/>
      </w:pPr>
      <w:r>
        <w:rPr>
          <w:rFonts w:ascii="Arial" w:cs="Arial" w:eastAsia="Arial" w:hAnsi="Arial"/>
          <w:sz w:val="22"/>
          <w:szCs w:val="22"/>
        </w:rPr>
        <w:t xml:space="preserve">Global Workspace Theory (GWT) proposes that consciousness corresponds to the global broadcasting of information. ToU incorporates the GWT intuition that global coordination is a necessary architectural condition (Layer 2) but argues that global broadcasting is not sufficient for perspectival organization. The global workspace can be understood as the substrate through which (M_w, M_s) coupling is implemented.</w:t>
      </w:r>
    </w:p>
    <w:p>
      <w:pPr>
        <w:spacing w:before="80" w:after="80"/>
        <w:jc w:val="both"/>
      </w:pPr>
      <w:r>
        <w:rPr>
          <w:rFonts w:ascii="Arial" w:cs="Arial" w:eastAsia="Arial" w:hAnsi="Arial"/>
          <w:sz w:val="22"/>
          <w:szCs w:val="22"/>
        </w:rPr>
        <w:t xml:space="preserve">The active inference framework proposes that biological systems continuously minimize prediction error through a hierarchical generative model. The world-model (M_w) can be understood as a predictive model of the environment, and the self-model (M_s) as a model of the system's own generative process. The perspective attractor can be interpreted as the dynamical stabilization regime of the self-world generative model — the condition under which prediction-error minimization occurs from a stable, reflexively maintained orientational position. The key ToU contribution is the explicit dynamical characterization of the stabilization threshold and its empirical signatures.</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The compatibility of ToU with IIT, GWT, and active inference does not imply that these theories are equivalent. Each captures a distinct necessary condition for perspectival organization. The ToU framework synthesizes these into a unified mechanistic account in which each is necessary but none is sufficient.</w:t>
      </w:r>
    </w:p>
    <w:p>
      <w:pPr>
        <w:pStyle w:val="Heading2"/>
        <w:spacing w:before="320" w:after="110"/>
      </w:pPr>
      <w:r>
        <w:rPr>
          <w:rFonts w:ascii="Arial" w:cs="Arial" w:eastAsia="Arial" w:hAnsi="Arial"/>
          <w:b/>
          <w:bCs/>
          <w:color w:val="2E5090"/>
          <w:sz w:val="25"/>
          <w:szCs w:val="25"/>
        </w:rPr>
        <w:t xml:space="preserve">1.5 Conceptual Contribution</w:t>
      </w:r>
    </w:p>
    <w:p>
      <w:pPr>
        <w:spacing w:before="80" w:after="80"/>
        <w:jc w:val="both"/>
      </w:pPr>
      <w:r>
        <w:rPr>
          <w:rFonts w:ascii="Arial" w:cs="Arial" w:eastAsia="Arial" w:hAnsi="Arial"/>
          <w:sz w:val="22"/>
          <w:szCs w:val="22"/>
        </w:rPr>
        <w:t xml:space="preserve">A central conceptual contribution is the reconceptualization of perspective as a dynamically stabilized organizational regime rather than as a fixed intrinsic property. When the joint (M_w, M_s) dynamics converge to a stable attractor, the system has a determinate, persistent orientational reference frame in its state space. This reference frame is not a static data structure but a dynamically maintained equilibrium — continuously regenerated by the regulatory loop between M_w and M_s, and continuously shaped by the input I(t).</w:t>
      </w:r>
    </w:p>
    <w:p>
      <w:pPr>
        <w:shd w:fill="FFF8E8" w:val="clear"/>
        <w:spacing w:before="100" w:after="100"/>
        <w:ind w:left="360" w:right="360"/>
        <w:jc w:val="both"/>
      </w:pPr>
      <w:r>
        <w:rPr>
          <w:rFonts w:ascii="Arial" w:cs="Arial" w:eastAsia="Arial" w:hAnsi="Arial"/>
          <w:sz w:val="22"/>
          <w:szCs w:val="22"/>
        </w:rPr>
        <w:t xml:space="preserve">The perspective attractor is not defined by the specific physical substrate in which it is realized, but by the organizational properties of the (M_w, M_s) coupling dynamics. Any system — biological, artificial, or otherwise — in which these organizational properties are present and the coupling reaches the critical threshold is, in the ToU sense, a perspectival system. This substrate independence is both the theoretical strength and the primary empirical challenge of the programme (see Section 4 for the empirical programme).</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2 —</w:t>
      </w:r>
    </w:p>
    <w:p>
      <w:pPr>
        <w:pStyle w:val="Heading1"/>
        <w:pBdr>
          <w:bottom w:val="single" w:color="2E75B6" w:sz="4" w:space="1"/>
        </w:pBdr>
        <w:spacing w:before="500" w:after="180"/>
      </w:pPr>
      <w:r>
        <w:rPr>
          <w:rFonts w:ascii="Arial" w:cs="Arial" w:eastAsia="Arial" w:hAnsi="Arial"/>
          <w:b/>
          <w:bCs/>
          <w:color w:val="1F3864"/>
          <w:sz w:val="30"/>
          <w:szCs w:val="30"/>
        </w:rPr>
        <w:t xml:space="preserve">Section 2: Epistemic Limits — The Detection Problem</w:t>
      </w:r>
    </w:p>
    <w:p>
      <w:pPr>
        <w:pStyle w:val="Heading2"/>
        <w:spacing w:before="320" w:after="110"/>
      </w:pPr>
      <w:r>
        <w:rPr>
          <w:rFonts w:ascii="Arial" w:cs="Arial" w:eastAsia="Arial" w:hAnsi="Arial"/>
          <w:b/>
          <w:bCs/>
          <w:color w:val="2E5090"/>
          <w:sz w:val="25"/>
          <w:szCs w:val="25"/>
        </w:rPr>
        <w:t xml:space="preserve">2.1 The Structural Asymmetry</w:t>
      </w:r>
    </w:p>
    <w:p>
      <w:pPr>
        <w:spacing w:before="80" w:after="80"/>
        <w:jc w:val="both"/>
      </w:pPr>
      <w:r>
        <w:rPr>
          <w:rFonts w:ascii="Arial" w:cs="Arial" w:eastAsia="Arial" w:hAnsi="Arial"/>
          <w:sz w:val="22"/>
          <w:szCs w:val="22"/>
        </w:rPr>
        <w:t xml:space="preserve">The detection problem arises from a structural asymmetry: perspective is constitutively first-personal while all external observation is constitutively third-personal. No finite set of behavioral or neural observations can logically entail the presence of a first-person perspective, because all such evidence is constitutively third-personal while the target — perspective — is constitutively first-personal.</w:t>
      </w:r>
    </w:p>
    <w:p>
      <w:pPr>
        <w:spacing w:before="80" w:after="80"/>
        <w:jc w:val="both"/>
      </w:pPr>
      <w:r>
        <w:rPr>
          <w:rFonts w:ascii="Arial" w:cs="Arial" w:eastAsia="Arial" w:hAnsi="Arial"/>
          <w:sz w:val="22"/>
          <w:szCs w:val="22"/>
        </w:rPr>
        <w:t xml:space="preserve">This asymmetry is not a contingent limitation of current measurement technology but a principled feature of the relationship between first-person and third-person access. The detection problem is therefore not a problem to be solved but a constraint to be acknowledged: the methodology of the programme must be designed to generate maximal empirical traction while respecting the principled limits of third-person investigation.</w:t>
      </w:r>
    </w:p>
    <w:p>
      <w:pPr>
        <w:spacing w:before="80" w:after="80"/>
        <w:jc w:val="both"/>
      </w:pPr>
      <w:r>
        <w:rPr>
          <w:rFonts w:ascii="Arial" w:cs="Arial" w:eastAsia="Arial" w:hAnsi="Arial"/>
          <w:sz w:val="22"/>
          <w:szCs w:val="22"/>
        </w:rPr>
        <w:t xml:space="preserve">Two dimensions of the problem must be distinguished. The explanatory hard problem asks: why does any physical system have phenomenal experience at all? The detection hard problem asks: how can an external observer reliably determine whether a system has perspectival organization? The ToU programme focuses on the second dimension. This is a conceptual clarification within the philosophy of consciousness rather than a resolution of the hard problem itself.</w:t>
      </w:r>
    </w:p>
    <w:p>
      <w:pPr>
        <w:pStyle w:val="Heading2"/>
        <w:spacing w:before="320" w:after="110"/>
      </w:pPr>
      <w:r>
        <w:rPr>
          <w:rFonts w:ascii="Arial" w:cs="Arial" w:eastAsia="Arial" w:hAnsi="Arial"/>
          <w:b/>
          <w:bCs/>
          <w:color w:val="2E5090"/>
          <w:sz w:val="25"/>
          <w:szCs w:val="25"/>
        </w:rPr>
        <w:t xml:space="preserve">2.2 Detection Does Not Require Certainty</w:t>
      </w:r>
    </w:p>
    <w:p>
      <w:pPr>
        <w:spacing w:before="80" w:after="80"/>
        <w:jc w:val="both"/>
      </w:pPr>
      <w:r>
        <w:rPr>
          <w:rFonts w:ascii="Arial" w:cs="Arial" w:eastAsia="Arial" w:hAnsi="Arial"/>
          <w:sz w:val="22"/>
          <w:szCs w:val="22"/>
        </w:rPr>
        <w:t xml:space="preserve">A persistent challenge to the detection problem holds that if no third-person evidence can confirm the presence of perspective, it equally cannot confirm the absence of perspective, making the detection problem a refutation of consciousness research rather than a methodological constraint on it. This challenge misreads the scope of the asymmetry thesis.</w:t>
      </w:r>
    </w:p>
    <w:p>
      <w:pPr>
        <w:spacing w:before="80" w:after="80"/>
        <w:jc w:val="both"/>
      </w:pPr>
      <w:r>
        <w:rPr>
          <w:rFonts w:ascii="Arial" w:cs="Arial" w:eastAsia="Arial" w:hAnsi="Arial"/>
          <w:sz w:val="22"/>
          <w:szCs w:val="22"/>
        </w:rPr>
        <w:t xml:space="preserve">The asymmetry thesis implies that third-person evidence cannot logically entail the presence of perspective — not that it provides no evidence at all. Evidence can be strong or weak without being conclusive. The four dynamical signatures of the perspective attractor transition (see Section 4) constitute genuine evidence for perspectival organization, in the same way that the fossil record constitutes genuine evidence for evolutionary history without logically entailing it. The detection problem sets an upper bound on the certainty that empirical investigation can achieve; it does not reduce its evidential value to zero.</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The detection problem does not generate scepticism about the existence of perspectival organization; it generates appropriate epistemic humility about the certainty with which any particular system can be identified as perspectival.</w:t>
      </w:r>
    </w:p>
    <w:p>
      <w:pPr>
        <w:pStyle w:val="Heading2"/>
        <w:spacing w:before="320" w:after="110"/>
      </w:pPr>
      <w:r>
        <w:rPr>
          <w:rFonts w:ascii="Arial" w:cs="Arial" w:eastAsia="Arial" w:hAnsi="Arial"/>
          <w:b/>
          <w:bCs/>
          <w:color w:val="2E5090"/>
          <w:sz w:val="25"/>
          <w:szCs w:val="25"/>
        </w:rPr>
        <w:t xml:space="preserve">2.3 The Detection Problem and Artificial Systems</w:t>
      </w:r>
    </w:p>
    <w:p>
      <w:pPr>
        <w:spacing w:before="80" w:after="80"/>
        <w:jc w:val="both"/>
      </w:pPr>
      <w:r>
        <w:rPr>
          <w:rFonts w:ascii="Arial" w:cs="Arial" w:eastAsia="Arial" w:hAnsi="Arial"/>
          <w:sz w:val="22"/>
          <w:szCs w:val="22"/>
        </w:rPr>
        <w:t xml:space="preserve">The detection problem has particular practical significance for AI research. Rather than assessing AI systems by behavioral outputs alone (the Turing test paradigm), ToU requires assessment of their internal organizational structure — specifically, whether they implement the bidirectional (M_w, M_s) coupling and attractor convergence that the hard core requires.</w:t>
      </w:r>
    </w:p>
    <w:p>
      <w:pPr>
        <w:spacing w:before="80" w:after="80"/>
        <w:jc w:val="both"/>
      </w:pPr>
      <w:r>
        <w:rPr>
          <w:rFonts w:ascii="Arial" w:cs="Arial" w:eastAsia="Arial" w:hAnsi="Arial"/>
          <w:sz w:val="22"/>
          <w:szCs w:val="22"/>
        </w:rPr>
        <w:t xml:space="preserve">Current large language models most plausibly fail the Layer 3 reflexive stabilization condition for three principled architectural reasons: absence of persistent dynamic state (the context window resets at conversation boundaries), absence of a causally active self-model (outputs are pattern completion, not regulatory M_s), and absence of a stable (M_w, M_s) attractor (without persistent coupled dynamics, no perspective attractor forms). This absence is architectural rather than scalar: it is not closable merely by increasing model size.</w:t>
      </w:r>
    </w:p>
    <w:p>
      <w:pPr>
        <w:pStyle w:val="Heading2"/>
        <w:spacing w:before="320" w:after="110"/>
      </w:pPr>
      <w:r>
        <w:rPr>
          <w:rFonts w:ascii="Arial" w:cs="Arial" w:eastAsia="Arial" w:hAnsi="Arial"/>
          <w:b/>
          <w:bCs/>
          <w:color w:val="2E5090"/>
          <w:sz w:val="25"/>
          <w:szCs w:val="25"/>
        </w:rPr>
        <w:t xml:space="preserve">2.4 Relation to the Problem of Other Minds</w:t>
      </w:r>
    </w:p>
    <w:p>
      <w:pPr>
        <w:spacing w:before="80" w:after="80"/>
        <w:jc w:val="both"/>
      </w:pPr>
      <w:r>
        <w:rPr>
          <w:rFonts w:ascii="Arial" w:cs="Arial" w:eastAsia="Arial" w:hAnsi="Arial"/>
          <w:sz w:val="22"/>
          <w:szCs w:val="22"/>
        </w:rPr>
        <w:t xml:space="preserve">The ToU detection problem is a formally precise instance of the classical problem of other minds. The classical problem asks how one person can know that another person has a mind. The ToU detection problem asks how an external observer can determine whether a complex system has perspectival organization. The ToU formulation adds formal precision by specifying the organizational conditions at issue and identifying the empirical signatures consistent with their presence. It thereby transforms the philosophically intractable general problem into a more tractable, if still difficult, empirical and architectural question.</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3 —</w:t>
      </w:r>
    </w:p>
    <w:p>
      <w:pPr>
        <w:pStyle w:val="Heading1"/>
        <w:pBdr>
          <w:bottom w:val="single" w:color="2E75B6" w:sz="4" w:space="1"/>
        </w:pBdr>
        <w:spacing w:before="500" w:after="180"/>
      </w:pPr>
      <w:r>
        <w:rPr>
          <w:rFonts w:ascii="Arial" w:cs="Arial" w:eastAsia="Arial" w:hAnsi="Arial"/>
          <w:b/>
          <w:bCs/>
          <w:color w:val="1F3864"/>
          <w:sz w:val="30"/>
          <w:szCs w:val="30"/>
        </w:rPr>
        <w:t xml:space="preserve">Section 3: Minimal Mechanism — Reflexive Stabilization as a Dynamic Process</w:t>
      </w:r>
    </w:p>
    <w:p>
      <w:pPr>
        <w:pStyle w:val="Heading2"/>
        <w:spacing w:before="320" w:after="110"/>
      </w:pPr>
      <w:r>
        <w:rPr>
          <w:rFonts w:ascii="Arial" w:cs="Arial" w:eastAsia="Arial" w:hAnsi="Arial"/>
          <w:b/>
          <w:bCs/>
          <w:color w:val="2E5090"/>
          <w:sz w:val="25"/>
          <w:szCs w:val="25"/>
        </w:rPr>
        <w:t xml:space="preserve">3.1 From Description to Mechanism</w:t>
      </w:r>
    </w:p>
    <w:p>
      <w:pPr>
        <w:spacing w:before="80" w:after="80"/>
        <w:jc w:val="both"/>
      </w:pPr>
      <w:r>
        <w:rPr>
          <w:rFonts w:ascii="Arial" w:cs="Arial" w:eastAsia="Arial" w:hAnsi="Arial"/>
          <w:sz w:val="22"/>
          <w:szCs w:val="22"/>
        </w:rPr>
        <w:t xml:space="preserve">Section 1 characterized perspectival organization as a stable (M_w, M_s) attractor state. Section 3 asks how this attractor arises: what is the minimal dynamical mechanism by which a system transitions from a pre-perspectival regime to a perspectival one? The answer is a phase transition in the (M_w, M_s) state space, governed by a critical threshold of bidirectional coupling strength.</w:t>
      </w:r>
    </w:p>
    <w:p>
      <w:pPr>
        <w:spacing w:before="80" w:after="80"/>
        <w:jc w:val="both"/>
      </w:pPr>
      <w:r>
        <w:rPr>
          <w:rFonts w:ascii="Arial" w:cs="Arial" w:eastAsia="Arial" w:hAnsi="Arial"/>
          <w:sz w:val="22"/>
          <w:szCs w:val="22"/>
        </w:rPr>
        <w:t xml:space="preserve">The attractor model proposed here should not be interpreted as a specific implementation of consciousness, but as a minimal dynamical description of a regime in which perspectival organization becomes possible. The model specifies the mathematical structure of the mechanism without identifying the specific biological or computational mechanisms that implement it — a deliberate abstraction that preserves substrate independence.</w:t>
      </w:r>
    </w:p>
    <w:p>
      <w:pPr>
        <w:pStyle w:val="Heading2"/>
        <w:spacing w:before="320" w:after="110"/>
      </w:pPr>
      <w:r>
        <w:rPr>
          <w:rFonts w:ascii="Arial" w:cs="Arial" w:eastAsia="Arial" w:hAnsi="Arial"/>
          <w:b/>
          <w:bCs/>
          <w:color w:val="2E5090"/>
          <w:sz w:val="25"/>
          <w:szCs w:val="25"/>
        </w:rPr>
        <w:t xml:space="preserve">3.2 The Minimal Dynamical Model</w:t>
      </w:r>
    </w:p>
    <w:p>
      <w:pPr>
        <w:spacing w:before="80" w:after="80"/>
        <w:jc w:val="both"/>
      </w:pPr>
      <w:r>
        <w:rPr>
          <w:rFonts w:ascii="Arial" w:cs="Arial" w:eastAsia="Arial" w:hAnsi="Arial"/>
          <w:sz w:val="22"/>
          <w:szCs w:val="22"/>
        </w:rPr>
        <w:t xml:space="preserve">The minimal model formalizes the (M_w, M_s) dynamics as a coupled differential equation system:</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dM_w/dt = F(M_w, M_s, I(t))</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dM_s/dt = G(M_s, M_w, I(t))</w:t>
      </w:r>
    </w:p>
    <w:p>
      <w:pPr>
        <w:spacing w:before="80" w:after="80"/>
        <w:jc w:val="both"/>
      </w:pPr>
      <w:r>
        <w:rPr>
          <w:rFonts w:ascii="Arial" w:cs="Arial" w:eastAsia="Arial" w:hAnsi="Arial"/>
          <w:sz w:val="22"/>
          <w:szCs w:val="22"/>
        </w:rPr>
        <w:t xml:space="preserve">Here, M_w is the world-model state vector, M_s is the self-model state vector, and I(t) is the external input function. F and G are the coupling functions. The fixed point (M_w*, M_s*) satisfies F(M_w*, M_s*, I*) = 0 and G(M_s*, M_w*, I*) = 0.</w:t>
      </w:r>
    </w:p>
    <w:p>
      <w:pPr>
        <w:spacing w:before="80" w:after="80"/>
        <w:jc w:val="both"/>
      </w:pPr>
      <w:r>
        <w:rPr>
          <w:rFonts w:ascii="Arial" w:cs="Arial" w:eastAsia="Arial" w:hAnsi="Arial"/>
          <w:sz w:val="22"/>
          <w:szCs w:val="22"/>
        </w:rPr>
        <w:t xml:space="preserve">The local stability of the fixed point is determined by the Jacobian matrix J evaluated at (M_w*, M_s*):</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J = [ dF/dM_w   dF/dM_s ]</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    [ dG/dM_w   dG/dM_s ]</w:t>
      </w:r>
    </w:p>
    <w:p>
      <w:pPr>
        <w:spacing w:before="80" w:after="80"/>
        <w:jc w:val="both"/>
      </w:pPr>
      <w:r>
        <w:rPr>
          <w:rFonts w:ascii="Arial" w:cs="Arial" w:eastAsia="Arial" w:hAnsi="Arial"/>
          <w:sz w:val="22"/>
          <w:szCs w:val="22"/>
        </w:rPr>
        <w:t xml:space="preserve">The diagonal blocks dF/dM_w and dG/dM_s capture the internal dynamics of each model. The off-diagonal blocks dF/dM_s and dG/dM_w capture the bidirectional coupling — these are the dynamical levers that govern whether the joint (M_w, M_s) attractor is stable and how close the system is to the critical phase transition threshold.</w:t>
      </w:r>
    </w:p>
    <w:p>
      <w:pPr>
        <w:spacing w:before="80" w:after="80"/>
        <w:jc w:val="both"/>
      </w:pPr>
      <w:r>
        <w:rPr>
          <w:rFonts w:ascii="Arial" w:cs="Arial" w:eastAsia="Arial" w:hAnsi="Arial"/>
          <w:sz w:val="22"/>
          <w:szCs w:val="22"/>
        </w:rPr>
        <w:t xml:space="preserve">The dominant eigenvalue λ_max(J) is the eigenvalue with the largest real part. When all eigenvalues have strictly negative real parts, the fixed point is a stable attractor. The relaxation time τ_relax — the time required to return to equilibrium after a small perturbation — is inversely proportional to the distance of λ_max from zero:</w:t>
      </w:r>
    </w:p>
    <w:p>
      <w:pPr>
        <w:pBdr>
          <w:top w:val="single" w:color="2E75B6" w:sz="4" w:space="4"/>
          <w:bottom w:val="single" w:color="2E75B6" w:sz="4" w:space="4"/>
        </w:pBdr>
        <w:shd w:fill="E8F0F8" w:val="clear"/>
        <w:spacing w:before="60" w:after="60"/>
        <w:ind w:left="720" w:right="720"/>
        <w:jc w:val="center"/>
      </w:pPr>
      <w:r>
        <w:rPr>
          <w:rFonts w:ascii="Courier New" w:cs="Courier New" w:eastAsia="Courier New" w:hAnsi="Courier New"/>
          <w:b/>
          <w:bCs/>
          <w:color w:val="1F3864"/>
          <w:sz w:val="24"/>
          <w:szCs w:val="24"/>
        </w:rPr>
        <w:t xml:space="preserve">τ_relax ∝ 1 / |λ_max(J)|  →  ∞  as  λ_max → 0⁻</w:t>
      </w:r>
    </w:p>
    <w:p>
      <w:pPr>
        <w:pStyle w:val="Heading2"/>
        <w:spacing w:before="320" w:after="110"/>
      </w:pPr>
      <w:r>
        <w:rPr>
          <w:rFonts w:ascii="Arial" w:cs="Arial" w:eastAsia="Arial" w:hAnsi="Arial"/>
          <w:b/>
          <w:bCs/>
          <w:color w:val="2E5090"/>
          <w:sz w:val="25"/>
          <w:szCs w:val="25"/>
        </w:rPr>
        <w:t xml:space="preserve">3.3 The Critical Coupling Threshold</w:t>
      </w:r>
    </w:p>
    <w:p>
      <w:pPr>
        <w:spacing w:before="80" w:after="80"/>
        <w:jc w:val="both"/>
      </w:pPr>
      <w:r>
        <w:rPr>
          <w:rFonts w:ascii="Arial" w:cs="Arial" w:eastAsia="Arial" w:hAnsi="Arial"/>
          <w:sz w:val="22"/>
          <w:szCs w:val="22"/>
        </w:rPr>
        <w:t xml:space="preserve">As the bidirectional (M_w, M_s) coupling increases toward the critical threshold θ_c, λ_max approaches zero from below: the attractor weakens and the relaxation time diverges. This is the mathematical origin of critical slowing down — the primary empirical signature derived in Section 4.</w:t>
      </w:r>
    </w:p>
    <w:p>
      <w:pPr>
        <w:spacing w:before="80" w:after="80"/>
        <w:jc w:val="both"/>
      </w:pPr>
      <w:r>
        <w:rPr>
          <w:rFonts w:ascii="Arial" w:cs="Arial" w:eastAsia="Arial" w:hAnsi="Arial"/>
          <w:sz w:val="22"/>
          <w:szCs w:val="22"/>
        </w:rPr>
        <w:t xml:space="preserve">At the critical threshold, the perspective attractor appears discontinuously in the (M_w, M_s) state space — a bifurcation. Below the threshold, no stable (M_w, M_s) attractor exists. Above it, the joint dynamics converge to the perspective attractor A* and perspectival organization is maintained.</w:t>
      </w:r>
    </w:p>
    <w:p>
      <w:pPr>
        <w:pStyle w:val="Heading2"/>
        <w:spacing w:before="320" w:after="110"/>
      </w:pPr>
      <w:r>
        <w:rPr>
          <w:rFonts w:ascii="Arial" w:cs="Arial" w:eastAsia="Arial" w:hAnsi="Arial"/>
          <w:b/>
          <w:bCs/>
          <w:color w:val="2E5090"/>
          <w:sz w:val="25"/>
          <w:szCs w:val="25"/>
        </w:rPr>
        <w:t xml:space="preserve">3.4 The Simulation-Stabilization Distinction</w:t>
      </w:r>
    </w:p>
    <w:p>
      <w:pPr>
        <w:spacing w:before="80" w:after="80"/>
        <w:jc w:val="both"/>
      </w:pPr>
      <w:r>
        <w:rPr>
          <w:rFonts w:ascii="Arial" w:cs="Arial" w:eastAsia="Arial" w:hAnsi="Arial"/>
          <w:sz w:val="22"/>
          <w:szCs w:val="22"/>
        </w:rPr>
        <w:t xml:space="preserve">A critical distinction follows from the minimal model: the distinction between simulation and stabilization. A simulating system produces representations of self-world structure in its outputs without those representations being causally integrated into a regulatory loop. A stabilizing system implements the bidirectional (M_w, M_s) coupling above the critical threshold, such that the representations are causally constitutive of the regulatory dynamics that maintain the perspective attractor.</w:t>
      </w:r>
    </w:p>
    <w:p>
      <w:pPr>
        <w:spacing w:before="80" w:after="80"/>
        <w:jc w:val="both"/>
      </w:pPr>
      <w:r>
        <w:rPr>
          <w:rFonts w:ascii="Arial" w:cs="Arial" w:eastAsia="Arial" w:hAnsi="Arial"/>
          <w:sz w:val="22"/>
          <w:szCs w:val="22"/>
        </w:rPr>
        <w:t xml:space="preserve">This distinction is not gradational but categorical: it corresponds to the presence or absence of the perspective attractor in the (M_w, M_s) state space. A system that simulates perspectival processing — producing outputs that describe or represent perspectival organization — does not thereby have a perspective attractor. The attractor is not a representational but a dynamical condition.</w:t>
      </w:r>
    </w:p>
    <w:p>
      <w:pPr>
        <w:pStyle w:val="Heading2"/>
        <w:spacing w:before="320" w:after="110"/>
      </w:pPr>
      <w:r>
        <w:rPr>
          <w:rFonts w:ascii="Arial" w:cs="Arial" w:eastAsia="Arial" w:hAnsi="Arial"/>
          <w:b/>
          <w:bCs/>
          <w:color w:val="2E5090"/>
          <w:sz w:val="25"/>
          <w:szCs w:val="25"/>
        </w:rPr>
        <w:t xml:space="preserve">3.5 Critical Assessment of the Minimal Model</w:t>
      </w:r>
    </w:p>
    <w:p>
      <w:pPr>
        <w:spacing w:before="80" w:after="80"/>
        <w:jc w:val="both"/>
      </w:pPr>
      <w:r>
        <w:rPr>
          <w:rFonts w:ascii="Arial" w:cs="Arial" w:eastAsia="Arial" w:hAnsi="Arial"/>
          <w:sz w:val="22"/>
          <w:szCs w:val="22"/>
        </w:rPr>
        <w:t xml:space="preserve">Three challenges to the minimal model are addressed in Section 6. The minimality objection holds that the (M_w, M_s) decomposition is theoretically arbitrary: it is grounded in the independent theoretical motivation of the three-layer model (Section 1), not posited for the purpose of generating a phase transition framework. The implementation gap objection notes that the model is consistent with a wide range of implementations: this is acknowledged as a genuine limitation at the current stage of development, not a permanent deficiency. The abstraction objection holds that without specified F, G, and θ_c the model has no genuine predictive content: the qualitative predictions of Section 4 follow from the mathematical structure of phase transitions and are derivable without specifying these parameters.</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4 —</w:t>
      </w:r>
    </w:p>
    <w:p>
      <w:pPr>
        <w:pStyle w:val="Heading1"/>
        <w:pBdr>
          <w:bottom w:val="single" w:color="2E75B6" w:sz="4" w:space="1"/>
        </w:pBdr>
        <w:spacing w:before="500" w:after="180"/>
      </w:pPr>
      <w:r>
        <w:rPr>
          <w:rFonts w:ascii="Arial" w:cs="Arial" w:eastAsia="Arial" w:hAnsi="Arial"/>
          <w:b/>
          <w:bCs/>
          <w:color w:val="1F3864"/>
          <w:sz w:val="30"/>
          <w:szCs w:val="30"/>
        </w:rPr>
        <w:t xml:space="preserve">Section 4: Empirical Predictions — Signatures of the Perspective Attractor</w:t>
      </w:r>
    </w:p>
    <w:p>
      <w:pPr>
        <w:pStyle w:val="Heading2"/>
        <w:spacing w:before="320" w:after="110"/>
      </w:pPr>
      <w:r>
        <w:rPr>
          <w:rFonts w:ascii="Arial" w:cs="Arial" w:eastAsia="Arial" w:hAnsi="Arial"/>
          <w:b/>
          <w:bCs/>
          <w:color w:val="2E5090"/>
          <w:sz w:val="25"/>
          <w:szCs w:val="25"/>
        </w:rPr>
        <w:t xml:space="preserve">4.1 The Logic of Empirical Derivation</w:t>
      </w:r>
    </w:p>
    <w:p>
      <w:pPr>
        <w:spacing w:before="80" w:after="80"/>
        <w:jc w:val="both"/>
      </w:pPr>
      <w:r>
        <w:rPr>
          <w:rFonts w:ascii="Arial" w:cs="Arial" w:eastAsia="Arial" w:hAnsi="Arial"/>
          <w:sz w:val="22"/>
          <w:szCs w:val="22"/>
        </w:rPr>
        <w:t xml:space="preserve">The minimal model of Section 3 is a phase transition in a coupled dynamical system. Phase transitions in complex dynamical systems exhibit specific mathematical properties near the critical point that are largely independent of the particular mechanism producing the transition (Strogatz, 1994; Scheffer et al., 2009; Kelso, 1995). This universality means that the ToU predictions are testable without complete knowledge of the specific functions F and G.</w:t>
      </w:r>
    </w:p>
    <w:p>
      <w:pPr>
        <w:spacing w:before="80" w:after="80"/>
        <w:jc w:val="both"/>
      </w:pPr>
      <w:r>
        <w:rPr>
          <w:rFonts w:ascii="Arial" w:cs="Arial" w:eastAsia="Arial" w:hAnsi="Arial"/>
          <w:sz w:val="22"/>
          <w:szCs w:val="22"/>
        </w:rPr>
        <w:t xml:space="preserve">The empirical programme does not claim direct measurement of the (M_w, M_s) variables. Rather, it establishes a structured inference: if the predicted dynamical signatures systematically co-occur with the specified anatomical localization, then any competing account must either reproduce this mapping or explain why such structured convergence arises independently of the proposed mechanism. The evidential force does not rest on individual signatures but on their structured co-occurrence under constrained anatomical and dynamical conditions.</w:t>
      </w:r>
    </w:p>
    <w:p>
      <w:pPr>
        <w:pStyle w:val="Heading2"/>
        <w:spacing w:before="320" w:after="110"/>
      </w:pPr>
      <w:r>
        <w:rPr>
          <w:rFonts w:ascii="Arial" w:cs="Arial" w:eastAsia="Arial" w:hAnsi="Arial"/>
          <w:b/>
          <w:bCs/>
          <w:color w:val="2E5090"/>
          <w:sz w:val="25"/>
          <w:szCs w:val="25"/>
        </w:rPr>
        <w:t xml:space="preserve">4.2 The Four Dynamical Signatures</w:t>
      </w:r>
    </w:p>
    <w:p>
      <w:pPr>
        <w:spacing w:before="80" w:after="80"/>
        <w:jc w:val="both"/>
      </w:pPr>
      <w:r>
        <w:rPr>
          <w:rFonts w:ascii="Arial" w:cs="Arial" w:eastAsia="Arial" w:hAnsi="Arial"/>
          <w:sz w:val="22"/>
          <w:szCs w:val="22"/>
        </w:rPr>
        <w:t xml:space="preserve">Four empirical signatures follow from the phase transition structure of the perspective attractor:</w:t>
      </w:r>
    </w:p>
    <w:p>
      <w:pPr>
        <w:pStyle w:val="ListParagraph"/>
        <w:numPr>
          <w:ilvl w:val="0"/>
          <w:numId w:val="2"/>
        </w:numPr>
        <w:spacing w:before="50" w:after="50"/>
      </w:pPr>
      <w:r>
        <w:rPr>
          <w:rFonts w:ascii="Arial" w:cs="Arial" w:eastAsia="Arial" w:hAnsi="Arial"/>
          <w:sz w:val="22"/>
          <w:szCs w:val="22"/>
        </w:rPr>
        <w:t xml:space="preserve">Critical slowing down: As a system approaches the critical (M_w, M_s) coupling threshold, the relaxation time τ_relax following perturbation increases monotonically. Formally, τ_relax diverges as λ_max → 0. This signature is measurable using TMS-EEG perturbation paradigms: the complexity and duration of the EEG response reflects the relaxation time of the underlying dynamical system.</w:t>
      </w:r>
    </w:p>
    <w:p>
      <w:pPr>
        <w:pStyle w:val="ListParagraph"/>
        <w:numPr>
          <w:ilvl w:val="0"/>
          <w:numId w:val="2"/>
        </w:numPr>
        <w:spacing w:before="50" w:after="50"/>
      </w:pPr>
      <w:r>
        <w:rPr>
          <w:rFonts w:ascii="Arial" w:cs="Arial" w:eastAsia="Arial" w:hAnsi="Arial"/>
          <w:sz w:val="22"/>
          <w:szCs w:val="22"/>
        </w:rPr>
        <w:t xml:space="preserve">Increased variance: Near the critical threshold, the contracting attractor basin allows the system's trajectory to wander more widely, producing increased amplitude of spontaneous fluctuations in the (M_w, M_s) state variables. This is measurable as increased EEG variance in frequency bands linked to (M_w, M_s) coupling circuits.</w:t>
      </w:r>
    </w:p>
    <w:p>
      <w:pPr>
        <w:pStyle w:val="ListParagraph"/>
        <w:numPr>
          <w:ilvl w:val="0"/>
          <w:numId w:val="2"/>
        </w:numPr>
        <w:spacing w:before="50" w:after="50"/>
      </w:pPr>
      <w:r>
        <w:rPr>
          <w:rFonts w:ascii="Arial" w:cs="Arial" w:eastAsia="Arial" w:hAnsi="Arial"/>
          <w:sz w:val="22"/>
          <w:szCs w:val="22"/>
        </w:rPr>
        <w:t xml:space="preserve">Bifurcation: At the critical threshold, the perspective attractor appears discontinuously — a qualitative, not merely quantitative, change in system organization. The perturbation complexity index (PCI), computed as the Lempel-Ziv complexity of the compressed TMS-EEG response, shows a sharp non-linear transition that cannot be captured by continuous measures (Casali et al., 2013).</w:t>
      </w:r>
    </w:p>
    <w:p>
      <w:pPr>
        <w:pStyle w:val="ListParagraph"/>
        <w:numPr>
          <w:ilvl w:val="0"/>
          <w:numId w:val="2"/>
        </w:numPr>
        <w:spacing w:before="50" w:after="50"/>
      </w:pPr>
      <w:r>
        <w:rPr>
          <w:rFonts w:ascii="Arial" w:cs="Arial" w:eastAsia="Arial" w:hAnsi="Arial"/>
          <w:sz w:val="22"/>
          <w:szCs w:val="22"/>
        </w:rPr>
        <w:t xml:space="preserve">Hysteresis: The threshold to enter the perspectival state differs from the threshold to exit it: θ_entry ≠ θ_exit, implying a bistable attractor landscape. The drug concentration required to induce loss of consciousness is systematically higher than the concentration at which consciousness recovers (Friedman et al., 2010) — the signature of a bistable dynamical system.</w:t>
      </w:r>
    </w:p>
    <w:p>
      <w:pPr>
        <w:pStyle w:val="Heading2"/>
        <w:spacing w:before="320" w:after="110"/>
      </w:pPr>
      <w:r>
        <w:rPr>
          <w:rFonts w:ascii="Arial" w:cs="Arial" w:eastAsia="Arial" w:hAnsi="Arial"/>
          <w:b/>
          <w:bCs/>
          <w:color w:val="2E5090"/>
          <w:sz w:val="25"/>
          <w:szCs w:val="25"/>
        </w:rPr>
        <w:t xml:space="preserve">4.3 Anatomical Specificity — The Discriminating Prediction</w:t>
      </w:r>
    </w:p>
    <w:p>
      <w:pPr>
        <w:spacing w:before="80" w:after="80"/>
        <w:jc w:val="both"/>
      </w:pPr>
      <w:r>
        <w:rPr>
          <w:rFonts w:ascii="Arial" w:cs="Arial" w:eastAsia="Arial" w:hAnsi="Arial"/>
          <w:sz w:val="22"/>
          <w:szCs w:val="22"/>
        </w:rPr>
        <w:t xml:space="preserve">The four universal signatures are present at any phase transition in a complex dynamical system. What makes them specific to the ToU account is the anatomical prediction: the most sensitive indicators of the perspective transition should be concentrated in circuits linking self-referential processing regions (medial prefrontal cortex, posterior cingulate cortex) with world-model processing regions (temporo-parietal junction, lateral parietal cortex). This anatomical specificity distinguishes ToU predictions from predictions based on global complexity measures and constitutes a discriminating empirical test.</w:t>
      </w:r>
    </w:p>
    <w:p>
      <w:pPr>
        <w:pStyle w:val="Heading2"/>
        <w:spacing w:before="320" w:after="110"/>
      </w:pPr>
      <w:r>
        <w:rPr>
          <w:rFonts w:ascii="Arial" w:cs="Arial" w:eastAsia="Arial" w:hAnsi="Arial"/>
          <w:b/>
          <w:bCs/>
          <w:color w:val="2E5090"/>
          <w:sz w:val="25"/>
          <w:szCs w:val="25"/>
        </w:rPr>
        <w:t xml:space="preserve">4.4 Biological Paradigms</w:t>
      </w:r>
    </w:p>
    <w:p>
      <w:pPr>
        <w:spacing w:before="80" w:after="80"/>
        <w:jc w:val="both"/>
      </w:pPr>
      <w:r>
        <w:rPr>
          <w:rFonts w:ascii="Arial" w:cs="Arial" w:eastAsia="Arial" w:hAnsi="Arial"/>
          <w:sz w:val="22"/>
          <w:szCs w:val="22"/>
        </w:rPr>
        <w:t xml:space="preserve">Three biological paradigms provide the primary empirical test domains. Consciousness-anaesthesia transitions provide the most experimentally tractable paradigm: anaesthetic concentration can be varied systematically, allowing graded approach to the transition threshold. As concentration increases toward the loss-of-consciousness threshold, τ_relax measured from TMS-EEG should increase (critical slowing down); EEG variance should increase; a qualitative discontinuity in PCI should occur at the transition (bifurcation); and the concentration at loss of consciousness should exceed the concentration at recovery (hysteresis).</w:t>
      </w:r>
    </w:p>
    <w:p>
      <w:pPr>
        <w:spacing w:before="80" w:after="80"/>
        <w:jc w:val="both"/>
      </w:pPr>
      <w:r>
        <w:rPr>
          <w:rFonts w:ascii="Arial" w:cs="Arial" w:eastAsia="Arial" w:hAnsi="Arial"/>
          <w:sz w:val="22"/>
          <w:szCs w:val="22"/>
        </w:rPr>
        <w:t xml:space="preserve">Sleep-wake transitions provide a naturalistic, pharmacologically unmediated analogue. REM sleep is predicted to occupy an intermediate dynamical regime: world-model (M_w) processing is reactivated (dreaming) but self-model (M_s) coupling is below the threshold for full reflexive stabilization.</w:t>
      </w:r>
    </w:p>
    <w:p>
      <w:pPr>
        <w:spacing w:before="80" w:after="80"/>
        <w:jc w:val="both"/>
      </w:pPr>
      <w:r>
        <w:rPr>
          <w:rFonts w:ascii="Arial" w:cs="Arial" w:eastAsia="Arial" w:hAnsi="Arial"/>
          <w:sz w:val="22"/>
          <w:szCs w:val="22"/>
        </w:rPr>
        <w:t xml:space="preserve">Disorders of consciousness represent degraded or intermittent states of the perspective attractor. In the vegetative state, (M_w, M_s) coupling is sub-threshold; in the minimally conscious state, coupling is near-threshold or intermittently above it. Patients with preserved (M_w, M_s) coupling above the threshold but without behavioral expression of consciousness — covert awareness cases — should show the full perspective attractor signatures in their neural dynamics, providing a principled criterion for distinguishing preserved perspectival organization from its absence.</w:t>
      </w:r>
    </w:p>
    <w:p>
      <w:pPr>
        <w:pStyle w:val="Heading2"/>
        <w:spacing w:before="320" w:after="110"/>
      </w:pPr>
      <w:r>
        <w:rPr>
          <w:rFonts w:ascii="Arial" w:cs="Arial" w:eastAsia="Arial" w:hAnsi="Arial"/>
          <w:b/>
          <w:bCs/>
          <w:color w:val="2E5090"/>
          <w:sz w:val="25"/>
          <w:szCs w:val="25"/>
        </w:rPr>
        <w:t xml:space="preserve">4.5 Falsifiability Conditions</w:t>
      </w:r>
    </w:p>
    <w:p>
      <w:pPr>
        <w:pStyle w:val="ListParagraph"/>
        <w:numPr>
          <w:ilvl w:val="0"/>
          <w:numId w:val="2"/>
        </w:numPr>
        <w:spacing w:before="50" w:after="50"/>
      </w:pPr>
      <w:r>
        <w:rPr>
          <w:rFonts w:ascii="Arial" w:cs="Arial" w:eastAsia="Arial" w:hAnsi="Arial"/>
          <w:sz w:val="22"/>
          <w:szCs w:val="22"/>
        </w:rPr>
        <w:t xml:space="preserve">Absence of critical slowing down near consciousness transitions: if TMS-EEG perturbation recovery times do not increase monotonically approaching the loss-of-consciousness threshold, the critical slowing down prediction is disconfirmed.</w:t>
      </w:r>
    </w:p>
    <w:p>
      <w:pPr>
        <w:pStyle w:val="ListParagraph"/>
        <w:numPr>
          <w:ilvl w:val="0"/>
          <w:numId w:val="2"/>
        </w:numPr>
        <w:spacing w:before="50" w:after="50"/>
      </w:pPr>
      <w:r>
        <w:rPr>
          <w:rFonts w:ascii="Arial" w:cs="Arial" w:eastAsia="Arial" w:hAnsi="Arial"/>
          <w:sz w:val="22"/>
          <w:szCs w:val="22"/>
        </w:rPr>
        <w:t xml:space="preserve">Absence of anatomical specificity: if the most sensitive EEG markers distribute uniformly across cortex rather than concentrating in (M_w, M_s) linking circuits, the coupling account is weakened relative to global complexity accounts.</w:t>
      </w:r>
    </w:p>
    <w:p>
      <w:pPr>
        <w:pStyle w:val="ListParagraph"/>
        <w:numPr>
          <w:ilvl w:val="0"/>
          <w:numId w:val="2"/>
        </w:numPr>
        <w:spacing w:before="50" w:after="50"/>
      </w:pPr>
      <w:r>
        <w:rPr>
          <w:rFonts w:ascii="Arial" w:cs="Arial" w:eastAsia="Arial" w:hAnsi="Arial"/>
          <w:sz w:val="22"/>
          <w:szCs w:val="22"/>
        </w:rPr>
        <w:t xml:space="preserve">Absence of hysteresis: if the drug concentration for loss of consciousness does not systematically exceed the concentration for recovery, the bistable attractor interpretation is undermined.</w:t>
      </w:r>
    </w:p>
    <w:p>
      <w:pPr>
        <w:pStyle w:val="ListParagraph"/>
        <w:numPr>
          <w:ilvl w:val="0"/>
          <w:numId w:val="2"/>
        </w:numPr>
        <w:spacing w:before="50" w:after="50"/>
      </w:pPr>
      <w:r>
        <w:rPr>
          <w:rFonts w:ascii="Arial" w:cs="Arial" w:eastAsia="Arial" w:hAnsi="Arial"/>
          <w:sz w:val="22"/>
          <w:szCs w:val="22"/>
        </w:rPr>
        <w:t xml:space="preserve">Successful AI implementation without perspectival organization: if an artificial system specifically architected to satisfy the ToU conditions fails to exhibit the four signatures, the minimal model requires structural revision.</w:t>
      </w:r>
    </w:p>
    <w:p>
      <w:pPr>
        <w:pStyle w:val="ListParagraph"/>
        <w:numPr>
          <w:ilvl w:val="0"/>
          <w:numId w:val="2"/>
        </w:numPr>
        <w:spacing w:before="50" w:after="50"/>
      </w:pPr>
      <w:r>
        <w:rPr>
          <w:rFonts w:ascii="Arial" w:cs="Arial" w:eastAsia="Arial" w:hAnsi="Arial"/>
          <w:sz w:val="22"/>
          <w:szCs w:val="22"/>
        </w:rPr>
        <w:t xml:space="preserve">Full explanatory reduction by simpler models: if IIT, GWT, or any single-parameter complexity measure generates all four predictions without the (M_w, M_s) coupling construct, the additional ToU theoretical machinery is not warranted.</w:t>
      </w:r>
    </w:p>
    <w:p>
      <w:pPr>
        <w:shd w:fill="FFF0E8" w:val="clear"/>
        <w:spacing w:before="100" w:after="100"/>
        <w:ind w:left="360" w:right="360"/>
        <w:jc w:val="both"/>
      </w:pPr>
      <w:r>
        <w:rPr>
          <w:rFonts w:ascii="Arial" w:cs="Arial" w:eastAsia="Arial" w:hAnsi="Arial"/>
          <w:sz w:val="22"/>
          <w:szCs w:val="22"/>
        </w:rPr>
        <w:t xml:space="preserve">Strong Falsifiability Clause: If the predicted dynamical signatures fail to co-occur under controlled experimental conditions specifically designed to detect them, the core explanatory claim of the programme must be considered empirically unsupported.</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5 —</w:t>
      </w:r>
    </w:p>
    <w:p>
      <w:pPr>
        <w:pStyle w:val="Heading1"/>
        <w:pBdr>
          <w:bottom w:val="single" w:color="2E75B6" w:sz="4" w:space="1"/>
        </w:pBdr>
        <w:spacing w:before="500" w:after="180"/>
      </w:pPr>
      <w:r>
        <w:rPr>
          <w:rFonts w:ascii="Arial" w:cs="Arial" w:eastAsia="Arial" w:hAnsi="Arial"/>
          <w:b/>
          <w:bCs/>
          <w:color w:val="1F3864"/>
          <w:sz w:val="30"/>
          <w:szCs w:val="30"/>
        </w:rPr>
        <w:t xml:space="preserve">Section 5: Methodology — The Structure of the Research Programme</w:t>
      </w:r>
    </w:p>
    <w:p>
      <w:pPr>
        <w:pStyle w:val="Heading2"/>
        <w:spacing w:before="320" w:after="110"/>
      </w:pPr>
      <w:r>
        <w:rPr>
          <w:rFonts w:ascii="Arial" w:cs="Arial" w:eastAsia="Arial" w:hAnsi="Arial"/>
          <w:b/>
          <w:bCs/>
          <w:color w:val="2E5090"/>
          <w:sz w:val="25"/>
          <w:szCs w:val="25"/>
        </w:rPr>
        <w:t xml:space="preserve">5.1 ToU as a Lakatosian Research Programme</w:t>
      </w:r>
    </w:p>
    <w:p>
      <w:pPr>
        <w:spacing w:before="80" w:after="80"/>
        <w:jc w:val="both"/>
      </w:pPr>
      <w:r>
        <w:rPr>
          <w:rFonts w:ascii="Arial" w:cs="Arial" w:eastAsia="Arial" w:hAnsi="Arial"/>
          <w:sz w:val="22"/>
          <w:szCs w:val="22"/>
        </w:rPr>
        <w:t xml:space="preserve">The ToU programme constitutes a research programme in the Lakatosian sense (Lakatos, 1978): a progressive series of contributions sharing a common hard core — the thesis that perspective arises as a reflexively stabilized (M_w, M_s) attractor — and a revisable protective belt of auxiliary hypotheses that are progressively refined against empirical evidence and conceptual objections.</w:t>
      </w:r>
    </w:p>
    <w:p>
      <w:pPr>
        <w:spacing w:before="200" w:after="90"/>
      </w:pPr>
      <w:r>
        <w:rPr>
          <w:rFonts w:ascii="Arial" w:cs="Arial" w:eastAsia="Arial" w:hAnsi="Arial"/>
          <w:b/>
          <w:bCs/>
          <w:i/>
          <w:iCs/>
          <w:color w:val="2A4070"/>
          <w:sz w:val="23"/>
          <w:szCs w:val="23"/>
        </w:rPr>
        <w:t xml:space="preserve">Hard Core</w:t>
      </w:r>
    </w:p>
    <w:p>
      <w:pPr>
        <w:pStyle w:val="ListParagraph"/>
        <w:numPr>
          <w:ilvl w:val="0"/>
          <w:numId w:val="2"/>
        </w:numPr>
        <w:spacing w:before="50" w:after="50"/>
      </w:pPr>
      <w:r>
        <w:rPr>
          <w:rFonts w:ascii="Arial" w:cs="Arial" w:eastAsia="Arial" w:hAnsi="Arial"/>
          <w:sz w:val="22"/>
          <w:szCs w:val="22"/>
        </w:rPr>
        <w:t xml:space="preserve">Perspectival organization is defined as a stable attractor in the coupled (M_w, M_s) dynamical system.</w:t>
      </w:r>
    </w:p>
    <w:p>
      <w:pPr>
        <w:pStyle w:val="ListParagraph"/>
        <w:numPr>
          <w:ilvl w:val="0"/>
          <w:numId w:val="2"/>
        </w:numPr>
        <w:spacing w:before="50" w:after="50"/>
      </w:pPr>
      <w:r>
        <w:rPr>
          <w:rFonts w:ascii="Arial" w:cs="Arial" w:eastAsia="Arial" w:hAnsi="Arial"/>
          <w:sz w:val="22"/>
          <w:szCs w:val="22"/>
        </w:rPr>
        <w:t xml:space="preserve">The emergence of perspectival organization corresponds to a phase transition in coupling strength.</w:t>
      </w:r>
    </w:p>
    <w:p>
      <w:pPr>
        <w:spacing w:before="200" w:after="90"/>
      </w:pPr>
      <w:r>
        <w:rPr>
          <w:rFonts w:ascii="Arial" w:cs="Arial" w:eastAsia="Arial" w:hAnsi="Arial"/>
          <w:b/>
          <w:bCs/>
          <w:i/>
          <w:iCs/>
          <w:color w:val="2A4070"/>
          <w:sz w:val="23"/>
          <w:szCs w:val="23"/>
        </w:rPr>
        <w:t xml:space="preserve">Protective Belt</w:t>
      </w:r>
    </w:p>
    <w:p>
      <w:pPr>
        <w:pStyle w:val="ListParagraph"/>
        <w:numPr>
          <w:ilvl w:val="0"/>
          <w:numId w:val="2"/>
        </w:numPr>
        <w:spacing w:before="50" w:after="50"/>
      </w:pPr>
      <w:r>
        <w:rPr>
          <w:rFonts w:ascii="Arial" w:cs="Arial" w:eastAsia="Arial" w:hAnsi="Arial"/>
          <w:sz w:val="22"/>
          <w:szCs w:val="22"/>
        </w:rPr>
        <w:t xml:space="preserve">Specific functional forms of the coupling functions F and G.</w:t>
      </w:r>
    </w:p>
    <w:p>
      <w:pPr>
        <w:pStyle w:val="ListParagraph"/>
        <w:numPr>
          <w:ilvl w:val="0"/>
          <w:numId w:val="2"/>
        </w:numPr>
        <w:spacing w:before="50" w:after="50"/>
      </w:pPr>
      <w:r>
        <w:rPr>
          <w:rFonts w:ascii="Arial" w:cs="Arial" w:eastAsia="Arial" w:hAnsi="Arial"/>
          <w:sz w:val="22"/>
          <w:szCs w:val="22"/>
        </w:rPr>
        <w:t xml:space="preserve">Anatomical mappings: mPFC, PCC, TPJ, lateral parietal cortex as the primary (M_w, M_s) linking circuits.</w:t>
      </w:r>
    </w:p>
    <w:p>
      <w:pPr>
        <w:pStyle w:val="ListParagraph"/>
        <w:numPr>
          <w:ilvl w:val="0"/>
          <w:numId w:val="2"/>
        </w:numPr>
        <w:spacing w:before="50" w:after="50"/>
      </w:pPr>
      <w:r>
        <w:rPr>
          <w:rFonts w:ascii="Arial" w:cs="Arial" w:eastAsia="Arial" w:hAnsi="Arial"/>
          <w:sz w:val="22"/>
          <w:szCs w:val="22"/>
        </w:rPr>
        <w:t xml:space="preserve">Proxy measurement frameworks: TMS-EEG perturbation paradigms, PCI, EEG variance monitoring.</w:t>
      </w:r>
    </w:p>
    <w:p>
      <w:pPr>
        <w:pStyle w:val="ListParagraph"/>
        <w:numPr>
          <w:ilvl w:val="0"/>
          <w:numId w:val="2"/>
        </w:numPr>
        <w:spacing w:before="50" w:after="50"/>
      </w:pPr>
      <w:r>
        <w:rPr>
          <w:rFonts w:ascii="Arial" w:cs="Arial" w:eastAsia="Arial" w:hAnsi="Arial"/>
          <w:sz w:val="22"/>
          <w:szCs w:val="22"/>
        </w:rPr>
        <w:t xml:space="preserve">AI-assisted methodological development and iterative formulation refinement.</w:t>
      </w:r>
    </w:p>
    <w:p>
      <w:pPr>
        <w:spacing w:before="80" w:after="80"/>
        <w:jc w:val="both"/>
      </w:pPr>
      <w:r>
        <w:rPr>
          <w:rFonts w:ascii="Arial" w:cs="Arial" w:eastAsia="Arial" w:hAnsi="Arial"/>
          <w:sz w:val="22"/>
          <w:szCs w:val="22"/>
        </w:rPr>
        <w:t xml:space="preserve">The negative heuristic of the programme — do not modify the hard core in response to anomalies — has been consistently observed. When objections arise (compatibility with IIT, GWT, active inference; the implementation gap; the proxy measurement limitation), the programme's response is always to develop the protective belt rather than revise the hard core.</w:t>
      </w:r>
    </w:p>
    <w:p>
      <w:pPr>
        <w:pStyle w:val="Heading2"/>
        <w:spacing w:before="320" w:after="110"/>
      </w:pPr>
      <w:r>
        <w:rPr>
          <w:rFonts w:ascii="Arial" w:cs="Arial" w:eastAsia="Arial" w:hAnsi="Arial"/>
          <w:b/>
          <w:bCs/>
          <w:color w:val="2E5090"/>
          <w:sz w:val="25"/>
          <w:szCs w:val="25"/>
        </w:rPr>
        <w:t xml:space="preserve">5.2 AI-Assisted Philosophical Stress Testing</w:t>
      </w:r>
    </w:p>
    <w:p>
      <w:pPr>
        <w:spacing w:before="80" w:after="80"/>
        <w:jc w:val="both"/>
      </w:pPr>
      <w:r>
        <w:rPr>
          <w:rFonts w:ascii="Arial" w:cs="Arial" w:eastAsia="Arial" w:hAnsi="Arial"/>
          <w:sz w:val="22"/>
          <w:szCs w:val="22"/>
        </w:rPr>
        <w:t xml:space="preserve">The most methodologically novel feature of the programme is its systematic use of AI systems — specifically ChatGPT and Claude — as instruments of philosophical stress testing. The rationale is straightforward: AI systems trained on large philosophical corpora can generate objections from multiple philosophical perspectives simultaneously, enabling iterative refinement prior to peer review. This pre-peer-review instrument achieves a high baseline level of conceptual precision before the work is exposed to human specialist review.</w:t>
      </w:r>
    </w:p>
    <w:p>
      <w:pPr>
        <w:spacing w:before="80" w:after="80"/>
        <w:jc w:val="both"/>
      </w:pPr>
      <w:r>
        <w:rPr>
          <w:rFonts w:ascii="Arial" w:cs="Arial" w:eastAsia="Arial" w:hAnsi="Arial"/>
          <w:sz w:val="22"/>
          <w:szCs w:val="22"/>
        </w:rPr>
        <w:t xml:space="preserve">The iterative process follows five stages: initial formulation by the author; AI critique under controlled pluralistic prompting; authorial evaluation of the generated objections; revised formulation incorporating valid objections; and further critique until theoretical stabilization — a state in which no significant new objections arise that have not already been addressed.</w:t>
      </w:r>
    </w:p>
    <w:p>
      <w:pPr>
        <w:spacing w:before="80" w:after="80"/>
        <w:jc w:val="both"/>
      </w:pPr>
      <w:r>
        <w:rPr>
          <w:rFonts w:ascii="Arial" w:cs="Arial" w:eastAsia="Arial" w:hAnsi="Arial"/>
          <w:sz w:val="22"/>
          <w:szCs w:val="22"/>
        </w:rPr>
        <w:t xml:space="preserve">The methodological role of AI is explicitly asymmetric: it generates candidate objections under controlled pluralistic prompting, while the author remains responsible for their evaluation. This asymmetry prevents circular validation, as the acceptance criteria are not determined by the AI system itself but by independent philosophical judgment. The AI system functions as an instrument of argumentative plurality, not as an authority on philosophical truth.</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This methodology may represent an early instance of an emerging research practice in philosophy of mind: the systematic use of AI systems as instruments of continuous philosophical stress testing during theory development. The broader applicability of this approach remains to be assessed.</w:t>
      </w:r>
    </w:p>
    <w:p>
      <w:pPr>
        <w:pStyle w:val="Heading2"/>
        <w:spacing w:before="320" w:after="110"/>
      </w:pPr>
      <w:r>
        <w:rPr>
          <w:rFonts w:ascii="Arial" w:cs="Arial" w:eastAsia="Arial" w:hAnsi="Arial"/>
          <w:b/>
          <w:bCs/>
          <w:color w:val="2E5090"/>
          <w:sz w:val="25"/>
          <w:szCs w:val="25"/>
        </w:rPr>
        <w:t xml:space="preserve">5.3 Programme Progressiveness</w:t>
      </w:r>
    </w:p>
    <w:p>
      <w:pPr>
        <w:spacing w:before="80" w:after="80"/>
        <w:jc w:val="both"/>
      </w:pPr>
      <w:r>
        <w:rPr>
          <w:rFonts w:ascii="Arial" w:cs="Arial" w:eastAsia="Arial" w:hAnsi="Arial"/>
          <w:sz w:val="22"/>
          <w:szCs w:val="22"/>
        </w:rPr>
        <w:t xml:space="preserve">The ToU programme is progressive in three senses. Theoretically: each section extends the programme's explanatory reach — Section 2's detection problem analysis extends Section 1's conceptual framework to the epistemological domain; Section 3's mechanistic model extends the detection framework to a formal dynamical account; Section 4's empirical programme derives predictions from Section 3's mechanism that are novel relative to existing consciousness research. Empirically: the four-signature test suite with anatomical specificity generates predictions not derivable from IIT, GWT, or active inference alone. Methodologically: the AI-assisted stress testing methodology represents a genuine innovation with broader applicability beyond the programme itself.</w:t>
      </w:r>
    </w:p>
    <w:p>
      <w:pPr>
        <w:pBdr>
          <w:bottom w:val="single" w:color="2E75B6" w:sz="6" w:space="1"/>
        </w:pBdr>
        <w:spacing w:before="240" w:after="240"/>
      </w:pPr>
      <w:r>
        <w:t xml:space="preserve"/>
      </w:r>
    </w:p>
    <w:p>
      <w:r>
        <w:br w:type="page"/>
      </w:r>
    </w:p>
    <w:p>
      <w:pPr>
        <w:pBdr>
          <w:top w:val="single" w:color="2E75B6" w:sz="4" w:space="8"/>
          <w:bottom w:val="single" w:color="2E75B6" w:sz="4" w:space="8"/>
        </w:pBdr>
        <w:spacing w:before="300" w:after="300"/>
        <w:jc w:val="center"/>
      </w:pPr>
      <w:r>
        <w:rPr>
          <w:rFonts w:ascii="Arial" w:cs="Arial" w:eastAsia="Arial" w:hAnsi="Arial"/>
          <w:i/>
          <w:iCs/>
          <w:color w:val="2E75B6"/>
          <w:sz w:val="20"/>
          <w:szCs w:val="20"/>
        </w:rPr>
        <w:t xml:space="preserve">— Section 6 —</w:t>
      </w:r>
    </w:p>
    <w:p>
      <w:pPr>
        <w:pStyle w:val="Heading1"/>
        <w:pBdr>
          <w:bottom w:val="single" w:color="2E75B6" w:sz="4" w:space="1"/>
        </w:pBdr>
        <w:spacing w:before="500" w:after="180"/>
      </w:pPr>
      <w:r>
        <w:rPr>
          <w:rFonts w:ascii="Arial" w:cs="Arial" w:eastAsia="Arial" w:hAnsi="Arial"/>
          <w:b/>
          <w:bCs/>
          <w:color w:val="1F3864"/>
          <w:sz w:val="30"/>
          <w:szCs w:val="30"/>
        </w:rPr>
        <w:t xml:space="preserve">Section 6: Robustness, Limits, and Critical Evaluation</w:t>
      </w:r>
    </w:p>
    <w:p>
      <w:pPr>
        <w:pStyle w:val="Heading2"/>
        <w:spacing w:before="320" w:after="110"/>
      </w:pPr>
      <w:r>
        <w:rPr>
          <w:rFonts w:ascii="Arial" w:cs="Arial" w:eastAsia="Arial" w:hAnsi="Arial"/>
          <w:b/>
          <w:bCs/>
          <w:color w:val="2E5090"/>
          <w:sz w:val="25"/>
          <w:szCs w:val="25"/>
        </w:rPr>
        <w:t xml:space="preserve">6.1 Author's Position</w:t>
      </w:r>
    </w:p>
    <w:p>
      <w:pPr>
        <w:shd w:fill="F0F4FA" w:val="clear"/>
        <w:spacing w:before="100" w:after="100"/>
        <w:ind w:left="360" w:right="360"/>
        <w:jc w:val="both"/>
      </w:pPr>
      <w:r>
        <w:rPr>
          <w:rFonts w:ascii="Arial" w:cs="Arial" w:eastAsia="Arial" w:hAnsi="Arial"/>
          <w:sz w:val="22"/>
          <w:szCs w:val="22"/>
        </w:rPr>
        <w:t xml:space="preserve">This section does not defend the programme against all objections. It distinguishes objections that the programme can answer from objections that expose genuine limitations, and it distinguishes limitations that are methodologically deliberate from limitations that represent theoretical weaknesses. The goal is not to prove that ToU is correct, but to establish with precision what ToU claims, what it does not claim, what evidence would confirm it, and what evidence would refute it.</w:t>
      </w:r>
    </w:p>
    <w:p>
      <w:pPr>
        <w:pStyle w:val="Heading2"/>
        <w:spacing w:before="320" w:after="110"/>
      </w:pPr>
      <w:r>
        <w:rPr>
          <w:rFonts w:ascii="Arial" w:cs="Arial" w:eastAsia="Arial" w:hAnsi="Arial"/>
          <w:b/>
          <w:bCs/>
          <w:color w:val="2E5090"/>
          <w:sz w:val="25"/>
          <w:szCs w:val="25"/>
        </w:rPr>
        <w:t xml:space="preserve">6.2 Conceptual Critiques</w:t>
      </w:r>
    </w:p>
    <w:p>
      <w:pPr>
        <w:spacing w:before="80" w:after="80"/>
        <w:jc w:val="both"/>
      </w:pPr>
      <w:r>
        <w:rPr>
          <w:rFonts w:ascii="Arial" w:cs="Arial" w:eastAsia="Arial" w:hAnsi="Arial"/>
          <w:sz w:val="22"/>
          <w:szCs w:val="22"/>
        </w:rPr>
        <w:t xml:space="preserve">The most fundamental conceptual critique targets the clarity of the concept of perspective: that ToU defines it in a way that is too broad, too narrow, or circular. At the definitional level, the programme defines perspectival organization with formal precision: it is the property of a system whose (M_w, M_s) joint dynamics have converged to a stable attractor, satisfying the three-layer conditions. This definition is not circular: none of its components presupposes the phenomenon being defined.</w:t>
      </w:r>
    </w:p>
    <w:p>
      <w:pPr>
        <w:spacing w:before="80" w:after="80"/>
        <w:jc w:val="both"/>
      </w:pPr>
      <w:r>
        <w:rPr>
          <w:rFonts w:ascii="Arial" w:cs="Arial" w:eastAsia="Arial" w:hAnsi="Arial"/>
          <w:sz w:val="22"/>
          <w:szCs w:val="22"/>
        </w:rPr>
        <w:t xml:space="preserve">A related critique holds that the programme merely redescribes consciousness without explanatory gain. At the explanatory level, the programme does not claim to explain why perspectival organization is accompanied by phenomenal experience. What it explains are the dynamical organizational conditions under which a system has a stable point of view in the processing sense — a condition conceptually distinct from phenomenal consciousness and independently characterizable. Its explanatory contribution lies in constraining the space of possible mechanisms, not in exhaustively describing all aspects of consciousness.</w:t>
      </w:r>
    </w:p>
    <w:p>
      <w:pPr>
        <w:pStyle w:val="Heading2"/>
        <w:spacing w:before="320" w:after="110"/>
      </w:pPr>
      <w:r>
        <w:rPr>
          <w:rFonts w:ascii="Arial" w:cs="Arial" w:eastAsia="Arial" w:hAnsi="Arial"/>
          <w:b/>
          <w:bCs/>
          <w:color w:val="2E5090"/>
          <w:sz w:val="25"/>
          <w:szCs w:val="25"/>
        </w:rPr>
        <w:t xml:space="preserve">6.3 Epistemological Critiques</w:t>
      </w:r>
    </w:p>
    <w:p>
      <w:pPr>
        <w:spacing w:before="80" w:after="80"/>
        <w:jc w:val="both"/>
      </w:pPr>
      <w:r>
        <w:rPr>
          <w:rFonts w:ascii="Arial" w:cs="Arial" w:eastAsia="Arial" w:hAnsi="Arial"/>
          <w:sz w:val="22"/>
          <w:szCs w:val="22"/>
        </w:rPr>
        <w:t xml:space="preserve">The epistemological critique holds that the detection problem makes the programme unfalsifiable: if perspective cannot be detected from outside, no empirical evidence could establish its absence. This critique conflates two distinct claims: that perspective cannot be detected with certainty from outside (which ToU accepts) and that perspective leaves no detectable organizational traces (which ToU denies). The programme's empirical predictions concern the organizational traces — the dynamical signatures — not the phenomenal content. The existence of error possibilities (false positives and false negatives) makes the programme fallible, not unfalsifiable — which is the appropriate epistemic status for an empirical research programme.</w:t>
      </w:r>
    </w:p>
    <w:p>
      <w:pPr>
        <w:pStyle w:val="Heading2"/>
        <w:spacing w:before="320" w:after="110"/>
      </w:pPr>
      <w:r>
        <w:rPr>
          <w:rFonts w:ascii="Arial" w:cs="Arial" w:eastAsia="Arial" w:hAnsi="Arial"/>
          <w:b/>
          <w:bCs/>
          <w:color w:val="2E5090"/>
          <w:sz w:val="25"/>
          <w:szCs w:val="25"/>
        </w:rPr>
        <w:t xml:space="preserve">6.4 Methodological Critiques</w:t>
      </w:r>
    </w:p>
    <w:p>
      <w:pPr>
        <w:spacing w:before="80" w:after="80"/>
        <w:jc w:val="both"/>
      </w:pPr>
      <w:r>
        <w:rPr>
          <w:rFonts w:ascii="Arial" w:cs="Arial" w:eastAsia="Arial" w:hAnsi="Arial"/>
          <w:sz w:val="22"/>
          <w:szCs w:val="22"/>
        </w:rPr>
        <w:t xml:space="preserve">Two concerns about AI-assisted stress testing arise. The echo chamber objection holds that the process may be circular. The programme addresses this by designing stress testing to generate objections from multiple, explicitly specified philosophical perspectives including those known to be hostile to dynamical systems accounts (eliminative materialism, deflationary functionalism), and by restricting AI to generating candidate objections for authorial evaluation. The bias objection is addressed by the same structural design and by the programme's commitment to external peer review as an essential complement to AI-assisted stress testing.</w:t>
      </w:r>
    </w:p>
    <w:p>
      <w:pPr>
        <w:pStyle w:val="Heading2"/>
        <w:spacing w:before="320" w:after="110"/>
      </w:pPr>
      <w:r>
        <w:rPr>
          <w:rFonts w:ascii="Arial" w:cs="Arial" w:eastAsia="Arial" w:hAnsi="Arial"/>
          <w:b/>
          <w:bCs/>
          <w:color w:val="2E5090"/>
          <w:sz w:val="25"/>
          <w:szCs w:val="25"/>
        </w:rPr>
        <w:t xml:space="preserve">6.5 Empirical Critiques</w:t>
      </w:r>
    </w:p>
    <w:p>
      <w:pPr>
        <w:spacing w:before="80" w:after="80"/>
        <w:jc w:val="both"/>
      </w:pPr>
      <w:r>
        <w:rPr>
          <w:rFonts w:ascii="Arial" w:cs="Arial" w:eastAsia="Arial" w:hAnsi="Arial"/>
          <w:sz w:val="22"/>
          <w:szCs w:val="22"/>
        </w:rPr>
        <w:t xml:space="preserve">The proxy measurement concern holds that M_w and M_s are not directly measurable and that proxy indicators may not validly represent the underlying coupling dynamics. The programme addresses this through the anatomical prediction: the most sensitive indicators should be concentrated specifically in circuits linking self-referential processing regions with world-model processing regions. This anatomical specificity distinguishes ToU predictions from global complexity accounts and provides a discriminating test. The specificity concern — that the four signatures are universal properties of any phase transition, not specific to (M_w, M_s) transitions — is addressed by the same anatomical prediction.</w:t>
      </w:r>
    </w:p>
    <w:p>
      <w:pPr>
        <w:pStyle w:val="Heading2"/>
        <w:spacing w:before="320" w:after="110"/>
      </w:pPr>
      <w:r>
        <w:rPr>
          <w:rFonts w:ascii="Arial" w:cs="Arial" w:eastAsia="Arial" w:hAnsi="Arial"/>
          <w:b/>
          <w:bCs/>
          <w:color w:val="2E5090"/>
          <w:sz w:val="25"/>
          <w:szCs w:val="25"/>
        </w:rPr>
        <w:t xml:space="preserve">6.6 Genuine Limits of the Programme</w:t>
      </w:r>
    </w:p>
    <w:p>
      <w:pPr>
        <w:spacing w:before="80" w:after="80"/>
        <w:jc w:val="both"/>
      </w:pPr>
      <w:r>
        <w:rPr>
          <w:rFonts w:ascii="Arial" w:cs="Arial" w:eastAsia="Arial" w:hAnsi="Arial"/>
          <w:sz w:val="22"/>
          <w:szCs w:val="22"/>
        </w:rPr>
        <w:t xml:space="preserve">The ToU programme has explicit limits that are not incidental weaknesses but deliberate methodological boundaries.</w:t>
      </w:r>
    </w:p>
    <w:p>
      <w:pPr>
        <w:spacing w:before="80" w:after="80"/>
        <w:jc w:val="both"/>
      </w:pPr>
      <w:r>
        <w:rPr>
          <w:rFonts w:ascii="Arial" w:cs="Arial" w:eastAsia="Arial" w:hAnsi="Arial"/>
          <w:sz w:val="22"/>
          <w:szCs w:val="22"/>
        </w:rPr>
        <w:t xml:space="preserve">ToU does not explain the qualitative content of experience. The programme identifies the dynamical organizational conditions under which a system has a stable point of view; it does not explain why that point of view has any qualitative character. This is the hard problem of consciousness (Chalmers, 1995, 1996), which the programme explicitly leaves open.</w:t>
      </w:r>
    </w:p>
    <w:p>
      <w:pPr>
        <w:spacing w:before="80" w:after="80"/>
        <w:jc w:val="both"/>
      </w:pPr>
      <w:r>
        <w:rPr>
          <w:rFonts w:ascii="Arial" w:cs="Arial" w:eastAsia="Arial" w:hAnsi="Arial"/>
          <w:sz w:val="22"/>
          <w:szCs w:val="22"/>
        </w:rPr>
        <w:t xml:space="preserve">ToU does not explain the ontological status of M_w and M_s. The programme treats them as theoretical constructs defined at the level of dynamical organization; it takes no position on whether they are reducible to neural processes or irreducible to either.</w:t>
      </w:r>
    </w:p>
    <w:p>
      <w:pPr>
        <w:spacing w:before="80" w:after="80"/>
        <w:jc w:val="both"/>
      </w:pPr>
      <w:r>
        <w:rPr>
          <w:rFonts w:ascii="Arial" w:cs="Arial" w:eastAsia="Arial" w:hAnsi="Arial"/>
          <w:sz w:val="22"/>
          <w:szCs w:val="22"/>
        </w:rPr>
        <w:t xml:space="preserve">ToU does not constitute a complete theory of consciousness. It addresses the organizational conditions of perspectival organization but does not address the full range of phenomena a complete theory would need to explain.</w:t>
      </w:r>
    </w:p>
    <w:p>
      <w:pPr>
        <w:pBdr>
          <w:left w:val="single" w:color="2E75B6" w:sz="8" w:space="8"/>
        </w:pBdr>
        <w:shd w:fill="F5F5F5" w:val="clear"/>
        <w:spacing w:before="80" w:after="80"/>
        <w:ind w:left="360" w:right="360"/>
        <w:jc w:val="both"/>
      </w:pPr>
      <w:r>
        <w:rPr>
          <w:rFonts w:ascii="Arial" w:cs="Arial" w:eastAsia="Arial" w:hAnsi="Arial"/>
          <w:i/>
          <w:iCs/>
          <w:color w:val="555555"/>
          <w:sz w:val="20"/>
          <w:szCs w:val="20"/>
        </w:rPr>
        <w:t xml:space="preserve">The distinction between what the programme claims to explain and what it deliberately leaves open is maintained consistently throughout. Readers who attribute to ToU claims that go beyond this scope are misreading the programme's stated commitments.</w:t>
      </w:r>
    </w:p>
    <w:p>
      <w:pPr>
        <w:pStyle w:val="Heading2"/>
        <w:spacing w:before="320" w:after="110"/>
      </w:pPr>
      <w:r>
        <w:rPr>
          <w:rFonts w:ascii="Arial" w:cs="Arial" w:eastAsia="Arial" w:hAnsi="Arial"/>
          <w:b/>
          <w:bCs/>
          <w:color w:val="2E5090"/>
          <w:sz w:val="25"/>
          <w:szCs w:val="25"/>
        </w:rPr>
        <w:t xml:space="preserve">6.7 Conditions of Failure</w:t>
      </w:r>
    </w:p>
    <w:p>
      <w:pPr>
        <w:spacing w:before="80" w:after="80"/>
        <w:jc w:val="both"/>
      </w:pPr>
      <w:r>
        <w:rPr>
          <w:rFonts w:ascii="Arial" w:cs="Arial" w:eastAsia="Arial" w:hAnsi="Arial"/>
          <w:sz w:val="22"/>
          <w:szCs w:val="22"/>
        </w:rPr>
        <w:t xml:space="preserve">At the theoretical level, the programme fails if the hard core thesis is internally incoherent, or if a simpler account generates all of the programme's predictions with equal or greater precision. At the empirical level, the programme fails if the four dynamical signatures are not present near consciousness transitions even when the experimental design is specifically optimized; if the anatomical distribution does not match the (M_w, M_s) linking circuits prediction; if artificial systems satisfying the ToU architectural conditions fail to exhibit the four signatures; or if the programme ceases to generate novel empirical predictions.</w:t>
      </w:r>
    </w:p>
    <w:p>
      <w:pPr>
        <w:pStyle w:val="Heading2"/>
        <w:spacing w:before="320" w:after="110"/>
      </w:pPr>
      <w:r>
        <w:rPr>
          <w:rFonts w:ascii="Arial" w:cs="Arial" w:eastAsia="Arial" w:hAnsi="Arial"/>
          <w:b/>
          <w:bCs/>
          <w:color w:val="2E5090"/>
          <w:sz w:val="25"/>
          <w:szCs w:val="25"/>
        </w:rPr>
        <w:t xml:space="preserve">6.8 Lakatosian Assessment</w:t>
      </w:r>
    </w:p>
    <w:p>
      <w:pPr>
        <w:spacing w:before="80" w:after="80"/>
        <w:jc w:val="both"/>
      </w:pPr>
      <w:r>
        <w:rPr>
          <w:rFonts w:ascii="Arial" w:cs="Arial" w:eastAsia="Arial" w:hAnsi="Arial"/>
          <w:sz w:val="22"/>
          <w:szCs w:val="22"/>
        </w:rPr>
        <w:t xml:space="preserve">On the available evidence — six integrated contributions, a novel AI-assisted methodology, and an empirical programme with specific and falsifiable predictions — the ToU programme exhibits the structural characteristics of a progressive research programme in the Lakatosian sense. This assessment must remain provisional until the programme undergoes systematic empirical testing. The programme would become degenerative if future theoretical developments consisted only of accommodating anomalies without generating new predictions.</w:t>
      </w:r>
    </w:p>
    <w:p>
      <w:pPr>
        <w:spacing w:before="80" w:after="80"/>
        <w:jc w:val="both"/>
      </w:pPr>
      <w:r>
        <w:rPr>
          <w:rFonts w:ascii="Arial" w:cs="Arial" w:eastAsia="Arial" w:hAnsi="Arial"/>
          <w:sz w:val="22"/>
          <w:szCs w:val="22"/>
        </w:rPr>
        <w:t xml:space="preserve">The present section constitutes an internal critical reconstruction of the programme, not a substitute for independent peer review.</w:t>
      </w:r>
    </w:p>
    <w:p>
      <w:pPr>
        <w:pBdr>
          <w:bottom w:val="single" w:color="2E75B6" w:sz="6" w:space="1"/>
        </w:pBdr>
        <w:spacing w:before="240" w:after="240"/>
      </w:pPr>
      <w:r>
        <w:t xml:space="preserve"/>
      </w:r>
    </w:p>
    <w:p>
      <w:r>
        <w:br w:type="page"/>
      </w:r>
    </w:p>
    <w:p>
      <w:pPr>
        <w:pStyle w:val="Heading1"/>
        <w:pBdr>
          <w:bottom w:val="single" w:color="2E75B6" w:sz="4" w:space="1"/>
        </w:pBdr>
        <w:spacing w:before="500" w:after="180"/>
      </w:pPr>
      <w:r>
        <w:rPr>
          <w:rFonts w:ascii="Arial" w:cs="Arial" w:eastAsia="Arial" w:hAnsi="Arial"/>
          <w:b/>
          <w:bCs/>
          <w:color w:val="1F3864"/>
          <w:sz w:val="30"/>
          <w:szCs w:val="30"/>
        </w:rPr>
        <w:t xml:space="preserve">General Conclusion</w:t>
      </w:r>
    </w:p>
    <w:p>
      <w:pPr>
        <w:spacing w:before="80" w:after="80"/>
        <w:jc w:val="both"/>
      </w:pPr>
      <w:r>
        <w:rPr>
          <w:rFonts w:ascii="Arial" w:cs="Arial" w:eastAsia="Arial" w:hAnsi="Arial"/>
          <w:sz w:val="22"/>
          <w:szCs w:val="22"/>
        </w:rPr>
        <w:t xml:space="preserve">The Akimov Theory of Unity has, across the six sections of this monograph, completed the first phase of its development. Section 1 established perspectival organization as a dynamically stabilized attractor regime rather than a static intrinsic property. Section 2 identified the detection problem as a principled epistemological constraint and developed criteria for genuine evidence. Section 3 provided the minimal (M_w, M_s) mechanistic model and the phase transition to reflexive stabilization. Section 4 derived four falsifiable empirical signatures and experimental paradigms. Section 5 analysed the Lakatosian architecture and AI-assisted methodology. Section 6 provided systematic critical scrutiny and specified the conditions of failure.</w:t>
      </w:r>
    </w:p>
    <w:p>
      <w:pPr>
        <w:spacing w:before="80" w:after="80"/>
        <w:jc w:val="both"/>
      </w:pPr>
      <w:r>
        <w:rPr>
          <w:rFonts w:ascii="Arial" w:cs="Arial" w:eastAsia="Arial" w:hAnsi="Arial"/>
          <w:sz w:val="22"/>
          <w:szCs w:val="22"/>
        </w:rPr>
        <w:t xml:space="preserve">The programme's claims are epistemically qualified throughout. It identifies necessary organizational conditions for perspectival organization without claiming to resolve the hard problem of phenomenal consciousness. Its empirical predictions carry genuine risk. Its Lakatosian assessment as progressive remains provisional pending empirical investigation.</w:t>
      </w:r>
    </w:p>
    <w:p>
      <w:pPr>
        <w:pBdr>
          <w:left w:val="single" w:color="E8A000" w:sz="12" w:space="10"/>
        </w:pBdr>
        <w:shd w:fill="FFF8E8" w:val="clear"/>
        <w:spacing w:before="120" w:after="120"/>
        <w:ind w:left="360" w:right="360"/>
        <w:jc w:val="both"/>
      </w:pPr>
      <w:r>
        <w:rPr>
          <w:rFonts w:ascii="Arial" w:cs="Arial" w:eastAsia="Arial" w:hAnsi="Arial"/>
          <w:b/>
          <w:bCs/>
          <w:i/>
          <w:iCs/>
          <w:color w:val="1F3864"/>
          <w:sz w:val="23"/>
          <w:szCs w:val="23"/>
        </w:rPr>
        <w:t xml:space="preserve">The Akimov Theory of Unity is best understood not as a completed theory of consciousness but as a research framework: a set of precisely formulated questions, a rigorous methodology for pursuing them, and a growing body of theoretical and empirical results that progressively narrow the space of viable answers. The investigation of the dynamical conditions of perspectival organization has only begun.</w:t>
      </w:r>
    </w:p>
    <w:p>
      <w:pPr>
        <w:spacing w:before="80" w:after="80"/>
        <w:jc w:val="both"/>
      </w:pPr>
      <w:r>
        <w:rPr>
          <w:rFonts w:ascii="Arial" w:cs="Arial" w:eastAsia="Arial" w:hAnsi="Arial"/>
          <w:sz w:val="22"/>
          <w:szCs w:val="22"/>
        </w:rPr>
        <w:t xml:space="preserve">The second phase of the programme — empirical testing, external peer review, and progressive refinement — now begins. The value of the programme lies not in its claim to completeness, but in the precision with which it defines its scope, risks, and conditions of failure.</w:t>
      </w:r>
    </w:p>
    <w:p>
      <w:pPr>
        <w:spacing w:before="80" w:after="80"/>
        <w:jc w:val="both"/>
      </w:pPr>
      <w:r>
        <w:rPr>
          <w:rFonts w:ascii="Arial" w:cs="Arial" w:eastAsia="Arial" w:hAnsi="Arial"/>
          <w:sz w:val="22"/>
          <w:szCs w:val="22"/>
        </w:rPr>
        <w:t xml:space="preserve">The strength of a research programme is not measured by its resistance to criticism, but by its ability to define the conditions under which criticism becomes decisive.</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References</w:t>
      </w:r>
    </w:p>
    <w:p>
      <w:pPr>
        <w:spacing w:before="80" w:after="80"/>
        <w:jc w:val="both"/>
      </w:pPr>
      <w:r>
        <w:rPr>
          <w:rFonts w:ascii="Arial" w:cs="Arial" w:eastAsia="Arial" w:hAnsi="Arial"/>
          <w:sz w:val="22"/>
          <w:szCs w:val="22"/>
        </w:rPr>
        <w:t xml:space="preserve">Akimov, A. (2026). Perspective as a dynamic organizational state (Version 4.2). [Section 1]. Akimov Theory of Unity Research.</w:t>
      </w:r>
    </w:p>
    <w:p>
      <w:pPr>
        <w:spacing w:before="80" w:after="80"/>
        <w:jc w:val="both"/>
      </w:pPr>
      <w:r>
        <w:rPr>
          <w:rFonts w:ascii="Arial" w:cs="Arial" w:eastAsia="Arial" w:hAnsi="Arial"/>
          <w:sz w:val="22"/>
          <w:szCs w:val="22"/>
        </w:rPr>
        <w:t xml:space="preserve">Akimov, A. (2026). The detection problem of consciousness (Version 1.0). [Section 2, Part A]. Akimov Theory of Unity Research.</w:t>
      </w:r>
    </w:p>
    <w:p>
      <w:pPr>
        <w:spacing w:before="80" w:after="80"/>
        <w:jc w:val="both"/>
      </w:pPr>
      <w:r>
        <w:rPr>
          <w:rFonts w:ascii="Arial" w:cs="Arial" w:eastAsia="Arial" w:hAnsi="Arial"/>
          <w:sz w:val="22"/>
          <w:szCs w:val="22"/>
        </w:rPr>
        <w:t xml:space="preserve">Akimov, A. (2026). Perspective in artificial systems (Version 1.0). [Section 2, Part B]. Akimov Theory of Unity Research.</w:t>
      </w:r>
    </w:p>
    <w:p>
      <w:pPr>
        <w:spacing w:before="80" w:after="80"/>
        <w:jc w:val="both"/>
      </w:pPr>
      <w:r>
        <w:rPr>
          <w:rFonts w:ascii="Arial" w:cs="Arial" w:eastAsia="Arial" w:hAnsi="Arial"/>
          <w:sz w:val="22"/>
          <w:szCs w:val="22"/>
        </w:rPr>
        <w:t xml:space="preserve">Akimov, A. (2026). The mechanism of perspective: Reflexive stabilization as a dynamic process (Version 1.3). [Section 3]. Akimov Theory of Unity Research.</w:t>
      </w:r>
    </w:p>
    <w:p>
      <w:pPr>
        <w:spacing w:before="80" w:after="80"/>
        <w:jc w:val="both"/>
      </w:pPr>
      <w:r>
        <w:rPr>
          <w:rFonts w:ascii="Arial" w:cs="Arial" w:eastAsia="Arial" w:hAnsi="Arial"/>
          <w:sz w:val="22"/>
          <w:szCs w:val="22"/>
        </w:rPr>
        <w:t xml:space="preserve">Akimov, A. (2026). Empirical signatures of the perspective attractor (Version 1.4). [Section 4]. Akimov Theory of Unity Research.</w:t>
      </w:r>
    </w:p>
    <w:p>
      <w:pPr>
        <w:spacing w:before="80" w:after="80"/>
        <w:jc w:val="both"/>
      </w:pPr>
      <w:r>
        <w:rPr>
          <w:rFonts w:ascii="Arial" w:cs="Arial" w:eastAsia="Arial" w:hAnsi="Arial"/>
          <w:sz w:val="22"/>
          <w:szCs w:val="22"/>
        </w:rPr>
        <w:t xml:space="preserve">Akimov, A. (2026). The methodology of the Akimov Theory of Unity research programme (Version 1.4). [Section 5]. Akimov Theory of Unity Research.</w:t>
      </w:r>
    </w:p>
    <w:p>
      <w:pPr>
        <w:spacing w:before="80" w:after="80"/>
        <w:jc w:val="both"/>
      </w:pPr>
      <w:r>
        <w:rPr>
          <w:rFonts w:ascii="Arial" w:cs="Arial" w:eastAsia="Arial" w:hAnsi="Arial"/>
          <w:sz w:val="22"/>
          <w:szCs w:val="22"/>
        </w:rPr>
        <w:t xml:space="preserve">Akimov, A. (2026). Robustness, limits, and critiques of the ToU research programme (Version 1.5). [Section 6]. Akimov Theory of Unity Research.</w:t>
      </w:r>
    </w:p>
    <w:p>
      <w:pPr>
        <w:spacing w:before="80" w:after="80"/>
        <w:jc w:val="both"/>
      </w:pPr>
      <w:r>
        <w:rPr>
          <w:rFonts w:ascii="Arial" w:cs="Arial" w:eastAsia="Arial" w:hAnsi="Arial"/>
          <w:sz w:val="22"/>
          <w:szCs w:val="22"/>
        </w:rPr>
        <w:t xml:space="preserve">Alkire, M. T., Hudetz, A. G., &amp; Tononi, G. (2008). Consciousness and anesthesia. Science, 322(5903), 876–880.</w:t>
      </w:r>
    </w:p>
    <w:p>
      <w:pPr>
        <w:spacing w:before="80" w:after="80"/>
        <w:jc w:val="both"/>
      </w:pPr>
      <w:r>
        <w:rPr>
          <w:rFonts w:ascii="Arial" w:cs="Arial" w:eastAsia="Arial" w:hAnsi="Arial"/>
          <w:sz w:val="22"/>
          <w:szCs w:val="22"/>
        </w:rPr>
        <w:t xml:space="preserve">Baars, B. J. (1988). A cognitive theory of consciousness. Cambridge University Press.</w:t>
      </w:r>
    </w:p>
    <w:p>
      <w:pPr>
        <w:spacing w:before="80" w:after="80"/>
        <w:jc w:val="both"/>
      </w:pPr>
      <w:r>
        <w:rPr>
          <w:rFonts w:ascii="Arial" w:cs="Arial" w:eastAsia="Arial" w:hAnsi="Arial"/>
          <w:sz w:val="22"/>
          <w:szCs w:val="22"/>
        </w:rPr>
        <w:t xml:space="preserve">Casali, A. G., et al. (2013). A theoretically based index of consciousness independent of sensory processing and behavior. Science Translational Medicine, 5(198), 198ra105.</w:t>
      </w:r>
    </w:p>
    <w:p>
      <w:pPr>
        <w:spacing w:before="80" w:after="80"/>
        <w:jc w:val="both"/>
      </w:pPr>
      <w:r>
        <w:rPr>
          <w:rFonts w:ascii="Arial" w:cs="Arial" w:eastAsia="Arial" w:hAnsi="Arial"/>
          <w:sz w:val="22"/>
          <w:szCs w:val="22"/>
        </w:rPr>
        <w:t xml:space="preserve">Chalmers, D. J. (1995). Facing up to the problem of consciousness. Journal of Consciousness Studies, 2(3), 200–219.</w:t>
      </w:r>
    </w:p>
    <w:p>
      <w:pPr>
        <w:spacing w:before="80" w:after="80"/>
        <w:jc w:val="both"/>
      </w:pPr>
      <w:r>
        <w:rPr>
          <w:rFonts w:ascii="Arial" w:cs="Arial" w:eastAsia="Arial" w:hAnsi="Arial"/>
          <w:sz w:val="22"/>
          <w:szCs w:val="22"/>
        </w:rPr>
        <w:t xml:space="preserve">Chalmers, D. J. (1996). The conscious mind: In search of a fundamental theory. Oxford University Press.</w:t>
      </w:r>
    </w:p>
    <w:p>
      <w:pPr>
        <w:spacing w:before="80" w:after="80"/>
        <w:jc w:val="both"/>
      </w:pPr>
      <w:r>
        <w:rPr>
          <w:rFonts w:ascii="Arial" w:cs="Arial" w:eastAsia="Arial" w:hAnsi="Arial"/>
          <w:sz w:val="22"/>
          <w:szCs w:val="22"/>
        </w:rPr>
        <w:t xml:space="preserve">Dehaene, S., &amp; Changeux, J. P. (2011). Experimental and theoretical approaches to conscious processing. Neuron, 70(2), 200–227.</w:t>
      </w:r>
    </w:p>
    <w:p>
      <w:pPr>
        <w:spacing w:before="80" w:after="80"/>
        <w:jc w:val="both"/>
      </w:pPr>
      <w:r>
        <w:rPr>
          <w:rFonts w:ascii="Arial" w:cs="Arial" w:eastAsia="Arial" w:hAnsi="Arial"/>
          <w:sz w:val="22"/>
          <w:szCs w:val="22"/>
        </w:rPr>
        <w:t xml:space="preserve">Dennett, D. C. (1991). Consciousness explained. Little, Brown and Company.</w:t>
      </w:r>
    </w:p>
    <w:p>
      <w:pPr>
        <w:spacing w:before="80" w:after="80"/>
        <w:jc w:val="both"/>
      </w:pPr>
      <w:r>
        <w:rPr>
          <w:rFonts w:ascii="Arial" w:cs="Arial" w:eastAsia="Arial" w:hAnsi="Arial"/>
          <w:sz w:val="22"/>
          <w:szCs w:val="22"/>
        </w:rPr>
        <w:t xml:space="preserve">Friston, K. (2010). The free-energy principle: A unified brain theory? Nature Reviews Neuroscience, 11(2), 127–138.</w:t>
      </w:r>
    </w:p>
    <w:p>
      <w:pPr>
        <w:spacing w:before="80" w:after="80"/>
        <w:jc w:val="both"/>
      </w:pPr>
      <w:r>
        <w:rPr>
          <w:rFonts w:ascii="Arial" w:cs="Arial" w:eastAsia="Arial" w:hAnsi="Arial"/>
          <w:sz w:val="22"/>
          <w:szCs w:val="22"/>
        </w:rPr>
        <w:t xml:space="preserve">Friedman, E. B., et al. (2010). Anaesthetic action and the problem of consciousness. Anesthesiology, 112, 585–595.</w:t>
      </w:r>
    </w:p>
    <w:p>
      <w:pPr>
        <w:spacing w:before="80" w:after="80"/>
        <w:jc w:val="both"/>
      </w:pPr>
      <w:r>
        <w:rPr>
          <w:rFonts w:ascii="Arial" w:cs="Arial" w:eastAsia="Arial" w:hAnsi="Arial"/>
          <w:sz w:val="22"/>
          <w:szCs w:val="22"/>
        </w:rPr>
        <w:t xml:space="preserve">Kelso, J. A. S. (1995). Dynamic patterns: The self-organization of brain and behavior. MIT Press.</w:t>
      </w:r>
    </w:p>
    <w:p>
      <w:pPr>
        <w:spacing w:before="80" w:after="80"/>
        <w:jc w:val="both"/>
      </w:pPr>
      <w:r>
        <w:rPr>
          <w:rFonts w:ascii="Arial" w:cs="Arial" w:eastAsia="Arial" w:hAnsi="Arial"/>
          <w:sz w:val="22"/>
          <w:szCs w:val="22"/>
        </w:rPr>
        <w:t xml:space="preserve">Lakatos, I. (1978). The methodology of scientific research programmes. Cambridge University Press.</w:t>
      </w:r>
    </w:p>
    <w:p>
      <w:pPr>
        <w:spacing w:before="80" w:after="80"/>
        <w:jc w:val="both"/>
      </w:pPr>
      <w:r>
        <w:rPr>
          <w:rFonts w:ascii="Arial" w:cs="Arial" w:eastAsia="Arial" w:hAnsi="Arial"/>
          <w:sz w:val="22"/>
          <w:szCs w:val="22"/>
        </w:rPr>
        <w:t xml:space="preserve">Mashour, G. A., et al. (2020). Conscious processing and the global neuronal workspace hypothesis. Neuron, 105(5), 776–798.</w:t>
      </w:r>
    </w:p>
    <w:p>
      <w:pPr>
        <w:spacing w:before="80" w:after="80"/>
        <w:jc w:val="both"/>
      </w:pPr>
      <w:r>
        <w:rPr>
          <w:rFonts w:ascii="Arial" w:cs="Arial" w:eastAsia="Arial" w:hAnsi="Arial"/>
          <w:sz w:val="22"/>
          <w:szCs w:val="22"/>
        </w:rPr>
        <w:t xml:space="preserve">Massimini, M., et al. (2005). Breakdown of cortical effective connectivity during sleep. Science, 309(5744), 2228–2232.</w:t>
      </w:r>
    </w:p>
    <w:p>
      <w:pPr>
        <w:spacing w:before="80" w:after="80"/>
        <w:jc w:val="both"/>
      </w:pPr>
      <w:r>
        <w:rPr>
          <w:rFonts w:ascii="Arial" w:cs="Arial" w:eastAsia="Arial" w:hAnsi="Arial"/>
          <w:sz w:val="22"/>
          <w:szCs w:val="22"/>
        </w:rPr>
        <w:t xml:space="preserve">Metzinger, T. (2003). Being no one: The self-model theory of subjectivity. MIT Press.</w:t>
      </w:r>
    </w:p>
    <w:p>
      <w:pPr>
        <w:spacing w:before="80" w:after="80"/>
        <w:jc w:val="both"/>
      </w:pPr>
      <w:r>
        <w:rPr>
          <w:rFonts w:ascii="Arial" w:cs="Arial" w:eastAsia="Arial" w:hAnsi="Arial"/>
          <w:sz w:val="22"/>
          <w:szCs w:val="22"/>
        </w:rPr>
        <w:t xml:space="preserve">Nagel, T. (1974). What is it like to be a bat? The Philosophical Review, 83(4), 435–450.</w:t>
      </w:r>
    </w:p>
    <w:p>
      <w:pPr>
        <w:spacing w:before="80" w:after="80"/>
        <w:jc w:val="both"/>
      </w:pPr>
      <w:r>
        <w:rPr>
          <w:rFonts w:ascii="Arial" w:cs="Arial" w:eastAsia="Arial" w:hAnsi="Arial"/>
          <w:sz w:val="22"/>
          <w:szCs w:val="22"/>
        </w:rPr>
        <w:t xml:space="preserve">Owen, A. M., et al. (2006). Detecting awareness in the vegetative state. Science, 313(5792), 1402.</w:t>
      </w:r>
    </w:p>
    <w:p>
      <w:pPr>
        <w:spacing w:before="80" w:after="80"/>
        <w:jc w:val="both"/>
      </w:pPr>
      <w:r>
        <w:rPr>
          <w:rFonts w:ascii="Arial" w:cs="Arial" w:eastAsia="Arial" w:hAnsi="Arial"/>
          <w:sz w:val="22"/>
          <w:szCs w:val="22"/>
        </w:rPr>
        <w:t xml:space="preserve">Rosanova, M., et al. (2018). Sleep-like cortical OFF-periods disrupt causality and communication in wakeful vegetative brain. Nature Communications, 9, 4427.</w:t>
      </w:r>
    </w:p>
    <w:p>
      <w:pPr>
        <w:spacing w:before="80" w:after="80"/>
        <w:jc w:val="both"/>
      </w:pPr>
      <w:r>
        <w:rPr>
          <w:rFonts w:ascii="Arial" w:cs="Arial" w:eastAsia="Arial" w:hAnsi="Arial"/>
          <w:sz w:val="22"/>
          <w:szCs w:val="22"/>
        </w:rPr>
        <w:t xml:space="preserve">Scheffer, M. (2009). Critical transitions in nature and society. Princeton University Press.</w:t>
      </w:r>
    </w:p>
    <w:p>
      <w:pPr>
        <w:spacing w:before="80" w:after="80"/>
        <w:jc w:val="both"/>
      </w:pPr>
      <w:r>
        <w:rPr>
          <w:rFonts w:ascii="Arial" w:cs="Arial" w:eastAsia="Arial" w:hAnsi="Arial"/>
          <w:sz w:val="22"/>
          <w:szCs w:val="22"/>
        </w:rPr>
        <w:t xml:space="preserve">Scheffer, M., et al. (2009). Early-warning signals for critical transitions. Nature, 461, 53–59.</w:t>
      </w:r>
    </w:p>
    <w:p>
      <w:pPr>
        <w:spacing w:before="80" w:after="80"/>
        <w:jc w:val="both"/>
      </w:pPr>
      <w:r>
        <w:rPr>
          <w:rFonts w:ascii="Arial" w:cs="Arial" w:eastAsia="Arial" w:hAnsi="Arial"/>
          <w:sz w:val="22"/>
          <w:szCs w:val="22"/>
        </w:rPr>
        <w:t xml:space="preserve">Seth, A. K. (2021). Being you: A new science of consciousness. Dutton.</w:t>
      </w:r>
    </w:p>
    <w:p>
      <w:pPr>
        <w:spacing w:before="80" w:after="80"/>
        <w:jc w:val="both"/>
      </w:pPr>
      <w:r>
        <w:rPr>
          <w:rFonts w:ascii="Arial" w:cs="Arial" w:eastAsia="Arial" w:hAnsi="Arial"/>
          <w:sz w:val="22"/>
          <w:szCs w:val="22"/>
        </w:rPr>
        <w:t xml:space="preserve">Strogatz, S. H. (1994). Nonlinear dynamics and chaos. Perseus Books.</w:t>
      </w:r>
    </w:p>
    <w:p>
      <w:pPr>
        <w:spacing w:before="80" w:after="80"/>
        <w:jc w:val="both"/>
      </w:pPr>
      <w:r>
        <w:rPr>
          <w:rFonts w:ascii="Arial" w:cs="Arial" w:eastAsia="Arial" w:hAnsi="Arial"/>
          <w:sz w:val="22"/>
          <w:szCs w:val="22"/>
        </w:rPr>
        <w:t xml:space="preserve">Tononi, G., Boly, M., Massimini, M., &amp; Koch, C. (2016). Integrated information theory: From consciousness to its physical substrate. Nature Reviews Neuroscience, 17(7), 450–461.</w:t>
      </w:r>
    </w:p>
    <w:p>
      <w:pPr>
        <w:pBdr>
          <w:bottom w:val="single" w:color="2E75B6" w:sz="6" w:space="1"/>
        </w:pBdr>
        <w:spacing w:before="240" w:after="240"/>
      </w:pPr>
      <w:r>
        <w:t xml:space="preserve"/>
      </w:r>
    </w:p>
    <w:p>
      <w:pPr>
        <w:pStyle w:val="Heading1"/>
        <w:pBdr>
          <w:bottom w:val="single" w:color="2E75B6" w:sz="4" w:space="1"/>
        </w:pBdr>
        <w:spacing w:before="500" w:after="180"/>
      </w:pPr>
      <w:r>
        <w:rPr>
          <w:rFonts w:ascii="Arial" w:cs="Arial" w:eastAsia="Arial" w:hAnsi="Arial"/>
          <w:b/>
          <w:bCs/>
          <w:color w:val="1F3864"/>
          <w:sz w:val="30"/>
          <w:szCs w:val="30"/>
        </w:rPr>
        <w:t xml:space="preserve">Legal and Academic Attribution</w:t>
      </w:r>
    </w:p>
    <w:p>
      <w:pPr>
        <w:shd w:fill="FFF0F0" w:val="clear"/>
        <w:spacing w:before="100" w:after="100"/>
        <w:ind w:left="360" w:right="360"/>
        <w:jc w:val="both"/>
      </w:pPr>
      <w:r>
        <w:rPr>
          <w:rFonts w:ascii="Arial" w:cs="Arial" w:eastAsia="Arial" w:hAnsi="Arial"/>
          <w:sz w:val="22"/>
          <w:szCs w:val="22"/>
        </w:rPr>
        <w:t xml:space="preserve">© 2026 Ing. Alex Akimov. All rights reserved. All conceptual frameworks, hypotheses, research directions, theoretical formulations, and methodological innovations contained in this work are the exclusive intellectual property of Ing. Alex Akimov and form part of his philosophical project, the Akimov Theory of Unity (ToU), which is itself a component of the broader Akimov Theory of Everything (ToE). AI systems were used exclusively as analytical instruments for generating alternative formulations and potential objections. They did not contribute original theoretical content and do not hold any authorship status. All theoretical contributions are attributable solely to the author.</w:t>
      </w:r>
    </w:p>
    <w:p>
      <w:pPr>
        <w:spacing w:before="80" w:after="80"/>
        <w:jc w:val="both"/>
      </w:pPr>
      <w:r>
        <w:rPr>
          <w:rFonts w:ascii="Arial" w:cs="Arial" w:eastAsia="Arial" w:hAnsi="Arial"/>
          <w:sz w:val="22"/>
          <w:szCs w:val="22"/>
        </w:rPr>
        <w:t xml:space="preserve">Citation (APA): Akimov, A. (2026). Akimov Theory of Unity (ToU): A research programme on perspectival organization and AI-assisted philosophical methodology (Version 1.0). Akimov Theory of Unity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320" w:after="11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2026-03-20T15:59:22.477Z</dcterms:created>
  <dcterms:modified xsi:type="dcterms:W3CDTF">2026-03-20T15:59:22.478Z</dcterms:modified>
</cp:coreProperties>
</file>

<file path=docProps/custom.xml><?xml version="1.0" encoding="utf-8"?>
<Properties xmlns="http://schemas.openxmlformats.org/officeDocument/2006/custom-properties" xmlns:vt="http://schemas.openxmlformats.org/officeDocument/2006/docPropsVTypes"/>
</file>