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3: </w:t>
      </w:r>
      <w:r w:rsidDel="00000000" w:rsidR="00000000" w:rsidRPr="00000000">
        <w:rPr>
          <w:rtl w:val="0"/>
        </w:rPr>
        <w:t xml:space="preserve">Classification of 74 </w:t>
      </w:r>
      <w:r w:rsidDel="00000000" w:rsidR="00000000" w:rsidRPr="00000000">
        <w:rPr>
          <w:i w:val="1"/>
          <w:iCs w:val="1"/>
          <w:rtl w:val="0"/>
        </w:rPr>
        <w:t xml:space="preserve">Halomonas</w:t>
      </w:r>
      <w:r w:rsidDel="00000000" w:rsidR="00000000" w:rsidRPr="00000000">
        <w:rPr>
          <w:rtl w:val="0"/>
        </w:rPr>
        <w:t xml:space="preserve"> taxa by polyhydroxyalkanoate (PHA) production capacity. Assignments are supported by published experimental literature, NCBI Protein database records, or designated as lacking available data.</w:t>
      </w:r>
    </w:p>
    <w:tbl>
      <w:tblPr>
        <w:tblStyle w:val="Table1"/>
        <w:tblW w:w="8789.0" w:type="dxa"/>
        <w:jc w:val="center"/>
        <w:tblLayout w:type="fixed"/>
        <w:tblLook w:val="0400"/>
      </w:tblPr>
      <w:tblGrid>
        <w:gridCol w:w="2835"/>
        <w:gridCol w:w="2268"/>
        <w:gridCol w:w="2268"/>
        <w:gridCol w:w="1418"/>
        <w:tblGridChange w:id="0">
          <w:tblGrid>
            <w:gridCol w:w="2835"/>
            <w:gridCol w:w="2268"/>
            <w:gridCol w:w="2268"/>
            <w:gridCol w:w="1418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1f4e79" w:val="clear"/>
          </w:tcPr>
          <w:p w:rsidR="00000000" w:rsidDel="00000000" w:rsidP="00000000" w:rsidRDefault="00000000" w:rsidRPr="00000000" w14:paraId="00000002">
            <w:pPr>
              <w:spacing w:after="10" w:before="10" w:line="19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1f4e79" w:val="clear"/>
          </w:tcPr>
          <w:p w:rsidR="00000000" w:rsidDel="00000000" w:rsidP="00000000" w:rsidRDefault="00000000" w:rsidRPr="00000000" w14:paraId="00000003">
            <w:pPr>
              <w:spacing w:after="10" w:before="10" w:line="19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PHA production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1f4e79" w:val="clear"/>
          </w:tcPr>
          <w:p w:rsidR="00000000" w:rsidDel="00000000" w:rsidP="00000000" w:rsidRDefault="00000000" w:rsidRPr="00000000" w14:paraId="00000004">
            <w:pPr>
              <w:spacing w:after="10" w:before="10" w:line="19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PHA Types</w:t>
            </w:r>
          </w:p>
          <w:p w:rsidR="00000000" w:rsidDel="00000000" w:rsidP="00000000" w:rsidRDefault="00000000" w:rsidRPr="00000000" w14:paraId="00000005">
            <w:pPr>
              <w:spacing w:after="10" w:before="10" w:line="190" w:lineRule="auto"/>
              <w:jc w:val="center"/>
              <w:rPr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1f4e79" w:val="clear"/>
          </w:tcPr>
          <w:p w:rsidR="00000000" w:rsidDel="00000000" w:rsidP="00000000" w:rsidRDefault="00000000" w:rsidRPr="00000000" w14:paraId="00000006">
            <w:pPr>
              <w:spacing w:after="10" w:before="10" w:line="19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Candidatus Halomonas stercoripullorum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aestuarii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Putative PHB-associated potential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alimentaria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alkaliantarctica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PHBV / P(3HB-co-3HV)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(Możejko-Ciesielska et al., 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alkalicola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PHBV / P(3HB-co-3HV) </w:t>
            </w:r>
          </w:p>
          <w:p w:rsidR="00000000" w:rsidDel="00000000" w:rsidP="00000000" w:rsidRDefault="00000000" w:rsidRPr="00000000" w14:paraId="0000001A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(Muigano et al., 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alkalisoli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almeriensis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aquatica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beimenensis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binhaiensis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borealis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campaniensis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PHB / P(3HB)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spacing w:after="10" w:before="10" w:line="1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(Jiang et al., 2017)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casei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caseinilytica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cerina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PHB / P(3HB)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(Jung et al., 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chromatireducens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Putative PHB-associated potential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cibimaris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citrativorans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colorata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cupida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SCL-co-MCL PHA, 3HB + 3HDD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(Liu et al.,, 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daqiaonensis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denitrificans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dongshanensis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elongata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  PHB / P(3HB)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(Leandro et al., 2023)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eurihalina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faecis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flagellata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fontilapidosi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garicola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gemina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getboli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halmophila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  PHB / P(3HB) </w:t>
            </w:r>
          </w:p>
          <w:p w:rsidR="00000000" w:rsidDel="00000000" w:rsidP="00000000" w:rsidRDefault="00000000" w:rsidRPr="00000000" w14:paraId="00000087">
            <w:pPr>
              <w:spacing w:after="10" w:before="10" w:line="180" w:lineRule="auto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(Aytar Celik et al., 2023)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halophila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  PHB / P(3HB) </w:t>
            </w:r>
          </w:p>
          <w:p w:rsidR="00000000" w:rsidDel="00000000" w:rsidP="00000000" w:rsidRDefault="00000000" w:rsidRPr="00000000" w14:paraId="0000008C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(Kucera et al., 2018)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heilongjiangensis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hibernica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huangheensis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icarae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jincaotanensis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kalidii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kashgarensis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koreensis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korlensis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1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litopenaei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llamarensis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lysinitropha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Putative PHB-associated potential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marinisediminis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maura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PHA; type not specified</w:t>
            </w:r>
          </w:p>
          <w:p w:rsidR="00000000" w:rsidDel="00000000" w:rsidP="00000000" w:rsidRDefault="00000000" w:rsidRPr="00000000" w14:paraId="000000C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(Bouchotroch et al.,, 2001)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7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mongoliensis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nitroreducens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PHA, likely/mostly PHB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(Cervantes-Uc et al., 2014)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organivorans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PHA/PHB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(Pernicova et al.,, 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pelophila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7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piscis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8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9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qaidamensis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F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qinghailakensis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PHA; type not specified</w:t>
            </w:r>
          </w:p>
          <w:p w:rsidR="00000000" w:rsidDel="00000000" w:rsidP="00000000" w:rsidRDefault="00000000" w:rsidRPr="00000000" w14:paraId="000000E2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(Zheng et al., 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ramblicola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rhizosphaerae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sabkhae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saccharevitans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salinarum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salipaludis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Putative PHB-associated potential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shantousis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shengliensis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smyrnensis AAD6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PHB / P(3HB), co-produced with levan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(Tohme et al., 2018)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socia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spacing w:after="10" w:before="10" w:line="180" w:lineRule="auto"/>
              <w:jc w:val="center"/>
              <w:rPr>
                <w:i w:val="1"/>
                <w:iCs w:val="1"/>
                <w:color w:val="aa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sp. BN3-1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aaaaaa"/>
                <w:sz w:val="14"/>
                <w:szCs w:val="14"/>
                <w:rtl w:val="0"/>
              </w:rPr>
              <w:t xml:space="preserve">No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sp. H10-59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sp. PR-M31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sp. RT37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sp. THAF12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Putative PHB-associated potential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stenophila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tibetensis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urmiana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spacing w:after="10" w:before="10" w:line="180" w:lineRule="auto"/>
              <w:jc w:val="center"/>
              <w:rPr>
                <w:color w:val="1a7a2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urumqiensis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color w:val="1a7a2e"/>
                <w:sz w:val="14"/>
                <w:szCs w:val="14"/>
                <w:rtl w:val="0"/>
              </w:rPr>
              <w:t xml:space="preserve">Database-based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10" w:before="10" w:line="180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Halomonas ventosae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Literature-based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4"/>
                <w:szCs w:val="14"/>
                <w:rtl w:val="0"/>
              </w:rPr>
              <w:t xml:space="preserve">PHA; type not specified</w:t>
            </w:r>
          </w:p>
          <w:p w:rsidR="00000000" w:rsidDel="00000000" w:rsidP="00000000" w:rsidRDefault="00000000" w:rsidRPr="00000000" w14:paraId="00000133">
            <w:pPr>
              <w:spacing w:after="10" w:before="10" w:line="180" w:lineRule="auto"/>
              <w:jc w:val="center"/>
              <w:rPr>
                <w:b w:val="1"/>
                <w:bCs w:val="1"/>
                <w:color w:val="0070c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0" w:before="10" w:line="180" w:lineRule="auto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(Martínez-Cánovas et al., 2004)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before="120" w:lineRule="auto"/>
        <w:rPr/>
      </w:pPr>
      <w:r w:rsidDel="00000000" w:rsidR="00000000" w:rsidRPr="00000000">
        <w:rPr>
          <w:b w:val="1"/>
          <w:bCs w:val="1"/>
          <w:color w:val="0070c0"/>
          <w:sz w:val="14"/>
          <w:szCs w:val="14"/>
          <w:rtl w:val="0"/>
        </w:rPr>
        <w:t xml:space="preserve">Literature-based</w:t>
      </w:r>
      <w:r w:rsidDel="00000000" w:rsidR="00000000" w:rsidRPr="00000000">
        <w:rPr>
          <w:color w:val="999999"/>
          <w:sz w:val="14"/>
          <w:szCs w:val="14"/>
          <w:rtl w:val="0"/>
        </w:rPr>
        <w:t xml:space="preserve"> | </w:t>
      </w:r>
      <w:r w:rsidDel="00000000" w:rsidR="00000000" w:rsidRPr="00000000">
        <w:rPr>
          <w:color w:val="1a7a2e"/>
          <w:sz w:val="14"/>
          <w:szCs w:val="14"/>
          <w:rtl w:val="0"/>
        </w:rPr>
        <w:t xml:space="preserve">Database-based</w:t>
      </w:r>
      <w:r w:rsidDel="00000000" w:rsidR="00000000" w:rsidRPr="00000000">
        <w:rPr>
          <w:color w:val="999999"/>
          <w:sz w:val="14"/>
          <w:szCs w:val="14"/>
          <w:rtl w:val="0"/>
        </w:rPr>
        <w:t xml:space="preserve"> | </w:t>
      </w:r>
      <w:r w:rsidDel="00000000" w:rsidR="00000000" w:rsidRPr="00000000">
        <w:rPr>
          <w:i w:val="1"/>
          <w:iCs w:val="1"/>
          <w:color w:val="aaaaaa"/>
          <w:sz w:val="14"/>
          <w:szCs w:val="14"/>
          <w:rtl w:val="0"/>
        </w:rPr>
        <w:t xml:space="preserve">No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60" w:lineRule="auto"/>
        <w:rPr/>
      </w:pPr>
      <w:r w:rsidDel="00000000" w:rsidR="00000000" w:rsidRPr="00000000">
        <w:rPr>
          <w:i w:val="1"/>
          <w:iCs w:val="1"/>
          <w:sz w:val="13"/>
          <w:szCs w:val="13"/>
          <w:rtl w:val="0"/>
        </w:rPr>
        <w:t xml:space="preserve">Literature-based: evidence from published experimental studies. Database-based: inferred from PHA-related protein records confirmed in the NCBI Protein database. No data: no PHA biosynthesis-related proteins or experimental evidence identified. PHA, polyhydroxyalkanoate; NCBI, National Center for Biotechnology Information.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113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MWe5ltRCa9KB8KRU2Nb0ZH+mqA==">CgMxLjA4AHIhMTdlWk8xcHZWaUVBdWJyYmxldVZNTFdyVjl4XzhtVnJL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