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Title"/>
      </w:pPr>
      <w:r>
        <w:rPr>
          <w:color w:val="1A476F"/>
          <w:sz w:val="64"/>
        </w:rPr>
        <w:t>Temporal Analysis Report</w:t>
      </w:r>
    </w:p>
    <w:p>
      <w:r>
        <w:t>Telecom Ethnography — "A Day in the Life" Diary Study</w:t>
      </w:r>
    </w:p>
    <w:p>
      <w:r>
        <w:t>Lagos, Nigeria • April 16–22, 2026 • 11 Respondents • 65 Diary Entries</w:t>
      </w:r>
    </w:p>
    <w:p>
      <w:r>
        <w:br w:type="page"/>
      </w:r>
    </w:p>
    <w:p>
      <w:pPr>
        <w:pStyle w:val="Heading1"/>
      </w:pPr>
      <w:r>
        <w:rPr>
          <w:color w:val="1A476F"/>
        </w:rPr>
        <w:t>1. Daily Rhythm: When Does Life Happen?</w:t>
      </w:r>
    </w:p>
    <w:p>
      <w:r>
        <w:t>This analysis maps the 1,499 coded responses against the natural rhythm of respondents’ days. By tracking which code families peak at which time of day, we can identify the optimal windows for brand engagement and the critical moments where infrastructure failure has the highest cost.</w:t>
      </w:r>
    </w:p>
    <w:p>
      <w:r>
        <w:drawing>
          <wp:inline xmlns:a="http://schemas.openxmlformats.org/drawingml/2006/main" xmlns:pic="http://schemas.openxmlformats.org/drawingml/2006/picture">
            <wp:extent cx="5943600" cy="2597156"/>
            <wp:docPr id="1" name="Picture 1"/>
            <wp:cNvGraphicFramePr>
              <a:graphicFrameLocks noChangeAspect="1"/>
            </wp:cNvGraphicFramePr>
            <a:graphic>
              <a:graphicData uri="http://schemas.openxmlformats.org/drawingml/2006/picture">
                <pic:pic>
                  <pic:nvPicPr>
                    <pic:cNvPr id="0" name="Temporal_TimeBlock_Heatmap.png"/>
                    <pic:cNvPicPr/>
                  </pic:nvPicPr>
                  <pic:blipFill>
                    <a:blip r:embed="rId9"/>
                    <a:stretch>
                      <a:fillRect/>
                    </a:stretch>
                  </pic:blipFill>
                  <pic:spPr>
                    <a:xfrm>
                      <a:off x="0" y="0"/>
                      <a:ext cx="5943600" cy="2597156"/>
                    </a:xfrm>
                    <a:prstGeom prst="rect"/>
                  </pic:spPr>
                </pic:pic>
              </a:graphicData>
            </a:graphic>
          </wp:inline>
        </w:drawing>
      </w:r>
    </w:p>
    <w:p/>
    <w:p>
      <w:pPr>
        <w:pStyle w:val="Heading2"/>
      </w:pPr>
      <w:r>
        <w:rPr>
          <w:color w:val="1A476F"/>
        </w:rPr>
        <w:t>Key Findings</w:t>
      </w:r>
    </w:p>
    <w:p>
      <w:r>
        <w:t>• Morning is dominated by H (Routines) and K (Domestic Life) — prayer, chores, bathing, and preparing for work. This is the "foundation-setting" period.</w:t>
      </w:r>
    </w:p>
    <w:p>
      <w:r>
        <w:t>• Midday sees the rise of A (Work) and B (Network) — respondents arrive at offices/shops and begin using their phones for business. C (Mobility) also peaks here as commutes end.</w:t>
      </w:r>
    </w:p>
    <w:p>
      <w:r>
        <w:t>• Afternoon is the crisis window: J (Power) peaks as phones die without electricity. F (Emotional) codes shift negative. D (Financial) spending decisions cluster here.</w:t>
      </w:r>
    </w:p>
    <w:p>
      <w:r>
        <w:t>• Evening belongs to G (Leisure) and E (Social) — TikTok, comedy, movies, music, and gisting with friends. This is the only period where respondents report genuine relaxation.</w:t>
      </w:r>
    </w:p>
    <w:p>
      <w:pPr>
        <w:pStyle w:val="Heading1"/>
      </w:pPr>
      <w:r>
        <w:rPr>
          <w:color w:val="1A476F"/>
        </w:rPr>
        <w:t>2. Emotional Arc: The Shape of a Lagos Day</w:t>
      </w:r>
    </w:p>
    <w:p>
      <w:r>
        <w:drawing>
          <wp:inline xmlns:a="http://schemas.openxmlformats.org/drawingml/2006/main" xmlns:pic="http://schemas.openxmlformats.org/drawingml/2006/picture">
            <wp:extent cx="5943600" cy="3331194"/>
            <wp:docPr id="2" name="Picture 2"/>
            <wp:cNvGraphicFramePr>
              <a:graphicFrameLocks noChangeAspect="1"/>
            </wp:cNvGraphicFramePr>
            <a:graphic>
              <a:graphicData uri="http://schemas.openxmlformats.org/drawingml/2006/picture">
                <pic:pic>
                  <pic:nvPicPr>
                    <pic:cNvPr id="0" name="Temporal_Emotional_Arc.png"/>
                    <pic:cNvPicPr/>
                  </pic:nvPicPr>
                  <pic:blipFill>
                    <a:blip r:embed="rId10"/>
                    <a:stretch>
                      <a:fillRect/>
                    </a:stretch>
                  </pic:blipFill>
                  <pic:spPr>
                    <a:xfrm>
                      <a:off x="0" y="0"/>
                      <a:ext cx="5943600" cy="3331194"/>
                    </a:xfrm>
                    <a:prstGeom prst="rect"/>
                  </pic:spPr>
                </pic:pic>
              </a:graphicData>
            </a:graphic>
          </wp:inline>
        </w:drawing>
      </w:r>
    </w:p>
    <w:p/>
    <w:p>
      <w:r>
        <w:t>The aggregate emotional arc across all 11 respondents reveals a consistent pattern: optimism at dawn, declining through the work day, hitting a low point in the afternoon, and recovering in the evening through digital entertainment and social connection.</w:t>
      </w:r>
    </w:p>
    <w:p>
      <w:r>
        <w:t>This "U-shaped" emotional curve has direct implications for brand strategy:</w:t>
      </w:r>
    </w:p>
    <w:p>
      <w:r>
        <w:t>• Morning (high mood): Ideal for aspirational messaging — respondents are hopeful and open.</w:t>
      </w:r>
    </w:p>
    <w:p>
      <w:r>
        <w:t>• Midday (declining): Avoid friction — network issues here cause disproportionate frustration.</w:t>
      </w:r>
    </w:p>
    <w:p>
      <w:r>
        <w:t>• Afternoon (low point): This is when empathy-driven messaging resonates. Offers that solve infrastructure problems (free charging, data bonuses) would be most valued.</w:t>
      </w:r>
    </w:p>
    <w:p>
      <w:r>
        <w:t>• Evening (recovery): Entertainment and social content drives engagement. Data bundles optimised for streaming/social would align with natural behaviour.</w:t>
      </w:r>
    </w:p>
    <w:p>
      <w:pPr>
        <w:pStyle w:val="Heading1"/>
      </w:pPr>
      <w:r>
        <w:rPr>
          <w:color w:val="1A476F"/>
        </w:rPr>
        <w:t>3. Wake-Up Patterns</w:t>
      </w:r>
    </w:p>
    <w:p>
      <w:r>
        <w:drawing>
          <wp:inline xmlns:a="http://schemas.openxmlformats.org/drawingml/2006/main" xmlns:pic="http://schemas.openxmlformats.org/drawingml/2006/picture">
            <wp:extent cx="5029200" cy="2494500"/>
            <wp:docPr id="3" name="Picture 3"/>
            <wp:cNvGraphicFramePr>
              <a:graphicFrameLocks noChangeAspect="1"/>
            </wp:cNvGraphicFramePr>
            <a:graphic>
              <a:graphicData uri="http://schemas.openxmlformats.org/drawingml/2006/picture">
                <pic:pic>
                  <pic:nvPicPr>
                    <pic:cNvPr id="0" name="Temporal_WakeUp_Distribution.png"/>
                    <pic:cNvPicPr/>
                  </pic:nvPicPr>
                  <pic:blipFill>
                    <a:blip r:embed="rId11"/>
                    <a:stretch>
                      <a:fillRect/>
                    </a:stretch>
                  </pic:blipFill>
                  <pic:spPr>
                    <a:xfrm>
                      <a:off x="0" y="0"/>
                      <a:ext cx="5029200" cy="2494500"/>
                    </a:xfrm>
                    <a:prstGeom prst="rect"/>
                  </pic:spPr>
                </pic:pic>
              </a:graphicData>
            </a:graphic>
          </wp:inline>
        </w:drawing>
      </w:r>
    </w:p>
    <w:p/>
    <w:p>
      <w:r>
        <w:t>The average wake-up time across all entries is 6:19 AM. Most respondents wake between 5:00 and 7:30 AM, with prayer as the near-universal first act. Phone usage immediately follows: checking time, torch light, or messages.</w:t>
      </w:r>
    </w:p>
    <w:p>
      <w:pPr>
        <w:pStyle w:val="Heading1"/>
      </w:pPr>
      <w:r>
        <w:rPr>
          <w:color w:val="1A476F"/>
        </w:rPr>
        <w:t>4. Respondent Activity Density</w:t>
      </w:r>
    </w:p>
    <w:p>
      <w:r>
        <w:drawing>
          <wp:inline xmlns:a="http://schemas.openxmlformats.org/drawingml/2006/main" xmlns:pic="http://schemas.openxmlformats.org/drawingml/2006/picture">
            <wp:extent cx="5943600" cy="3816304"/>
            <wp:docPr id="4" name="Picture 4"/>
            <wp:cNvGraphicFramePr>
              <a:graphicFrameLocks noChangeAspect="1"/>
            </wp:cNvGraphicFramePr>
            <a:graphic>
              <a:graphicData uri="http://schemas.openxmlformats.org/drawingml/2006/picture">
                <pic:pic>
                  <pic:nvPicPr>
                    <pic:cNvPr id="0" name="Temporal_Respondent_Density.png"/>
                    <pic:cNvPicPr/>
                  </pic:nvPicPr>
                  <pic:blipFill>
                    <a:blip r:embed="rId12"/>
                    <a:stretch>
                      <a:fillRect/>
                    </a:stretch>
                  </pic:blipFill>
                  <pic:spPr>
                    <a:xfrm>
                      <a:off x="0" y="0"/>
                      <a:ext cx="5943600" cy="3816304"/>
                    </a:xfrm>
                    <a:prstGeom prst="rect"/>
                  </pic:spPr>
                </pic:pic>
              </a:graphicData>
            </a:graphic>
          </wp:inline>
        </w:drawing>
      </w:r>
    </w:p>
    <w:p/>
    <w:p>
      <w:r>
        <w:t>This matrix reveals how each respondent’s coded activity distributes across the day. High-density respondents (Adekoya: 269 codes) show rich detail across all time blocks, while snapshot respondents (Daramola: 27 codes) show concentrated activity.</w:t>
      </w:r>
    </w:p>
    <w:p>
      <w:pPr>
        <w:pStyle w:val="Heading1"/>
      </w:pPr>
      <w:r>
        <w:rPr>
          <w:color w:val="1A476F"/>
        </w:rPr>
        <w:t>5. Strategic Implications</w:t>
      </w:r>
    </w:p>
    <w:p>
      <w:pPr>
        <w:pStyle w:val="Heading2"/>
      </w:pPr>
      <w:r>
        <w:rPr>
          <w:color w:val="1A476F"/>
        </w:rPr>
        <w:t>The 24-Hour Opportunity Map</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Time Window</w:t>
            </w:r>
          </w:p>
        </w:tc>
        <w:tc>
          <w:tcPr>
            <w:tcW w:type="dxa" w:w="2160"/>
          </w:tcPr>
          <w:p>
            <w:r>
              <w:rPr>
                <w:b/>
                <w:sz w:val="18"/>
              </w:rPr>
              <w:t>Dominant Themes</w:t>
            </w:r>
          </w:p>
        </w:tc>
        <w:tc>
          <w:tcPr>
            <w:tcW w:type="dxa" w:w="2160"/>
          </w:tcPr>
          <w:p>
            <w:r>
              <w:rPr>
                <w:b/>
                <w:sz w:val="18"/>
              </w:rPr>
              <w:t>User Mood</w:t>
            </w:r>
          </w:p>
        </w:tc>
        <w:tc>
          <w:tcPr>
            <w:tcW w:type="dxa" w:w="2160"/>
          </w:tcPr>
          <w:p>
            <w:r>
              <w:rPr>
                <w:b/>
                <w:sz w:val="18"/>
              </w:rPr>
              <w:t>Brand Opportunity</w:t>
            </w:r>
          </w:p>
        </w:tc>
      </w:tr>
      <w:tr>
        <w:tc>
          <w:tcPr>
            <w:tcW w:type="dxa" w:w="2160"/>
          </w:tcPr>
          <w:p>
            <w:r>
              <w:rPr>
                <w:sz w:val="18"/>
              </w:rPr>
              <w:t>5:00–8:00 AM</w:t>
            </w:r>
          </w:p>
        </w:tc>
        <w:tc>
          <w:tcPr>
            <w:tcW w:type="dxa" w:w="2160"/>
          </w:tcPr>
          <w:p>
            <w:r>
              <w:rPr>
                <w:sz w:val="18"/>
              </w:rPr>
              <w:t>H (Routine), K (Domestic), Prayer</w:t>
            </w:r>
          </w:p>
        </w:tc>
        <w:tc>
          <w:tcPr>
            <w:tcW w:type="dxa" w:w="2160"/>
          </w:tcPr>
          <w:p>
            <w:r>
              <w:rPr>
                <w:sz w:val="18"/>
              </w:rPr>
              <w:t>Optimistic, Spiritual</w:t>
            </w:r>
          </w:p>
        </w:tc>
        <w:tc>
          <w:tcPr>
            <w:tcW w:type="dxa" w:w="2160"/>
          </w:tcPr>
          <w:p>
            <w:r>
              <w:rPr>
                <w:sz w:val="18"/>
              </w:rPr>
              <w:t>Morning data bundles; Torch-light reliability; Bible/devotional partnerships</w:t>
            </w:r>
          </w:p>
        </w:tc>
      </w:tr>
      <w:tr>
        <w:tc>
          <w:tcPr>
            <w:tcW w:type="dxa" w:w="2160"/>
          </w:tcPr>
          <w:p>
            <w:r>
              <w:rPr>
                <w:sz w:val="18"/>
              </w:rPr>
              <w:t>8:00–10:00 AM</w:t>
            </w:r>
          </w:p>
        </w:tc>
        <w:tc>
          <w:tcPr>
            <w:tcW w:type="dxa" w:w="2160"/>
          </w:tcPr>
          <w:p>
            <w:r>
              <w:rPr>
                <w:sz w:val="18"/>
              </w:rPr>
              <w:t>C (Mobility), A (Work), Commute</w:t>
            </w:r>
          </w:p>
        </w:tc>
        <w:tc>
          <w:tcPr>
            <w:tcW w:type="dxa" w:w="2160"/>
          </w:tcPr>
          <w:p>
            <w:r>
              <w:rPr>
                <w:sz w:val="18"/>
              </w:rPr>
              <w:t>Stressed, Rushed</w:t>
            </w:r>
          </w:p>
        </w:tc>
        <w:tc>
          <w:tcPr>
            <w:tcW w:type="dxa" w:w="2160"/>
          </w:tcPr>
          <w:p>
            <w:r>
              <w:rPr>
                <w:sz w:val="18"/>
              </w:rPr>
              <w:t>Transit-optimised streaming; Low-data music apps; Commute loyalty rewards</w:t>
            </w:r>
          </w:p>
        </w:tc>
      </w:tr>
      <w:tr>
        <w:tc>
          <w:tcPr>
            <w:tcW w:type="dxa" w:w="2160"/>
          </w:tcPr>
          <w:p>
            <w:r>
              <w:rPr>
                <w:sz w:val="18"/>
              </w:rPr>
              <w:t>10:00 AM–2:00 PM</w:t>
            </w:r>
          </w:p>
        </w:tc>
        <w:tc>
          <w:tcPr>
            <w:tcW w:type="dxa" w:w="2160"/>
          </w:tcPr>
          <w:p>
            <w:r>
              <w:rPr>
                <w:sz w:val="18"/>
              </w:rPr>
              <w:t>A (Work), B (Network), Business</w:t>
            </w:r>
          </w:p>
        </w:tc>
        <w:tc>
          <w:tcPr>
            <w:tcW w:type="dxa" w:w="2160"/>
          </w:tcPr>
          <w:p>
            <w:r>
              <w:rPr>
                <w:sz w:val="18"/>
              </w:rPr>
              <w:t>Productive but anxious</w:t>
            </w:r>
          </w:p>
        </w:tc>
        <w:tc>
          <w:tcPr>
            <w:tcW w:type="dxa" w:w="2160"/>
          </w:tcPr>
          <w:p>
            <w:r>
              <w:rPr>
                <w:sz w:val="18"/>
              </w:rPr>
              <w:t>Business WhatsApp bundles; Transaction SMS reliability; Ultra-low-latency calls</w:t>
            </w:r>
          </w:p>
        </w:tc>
      </w:tr>
      <w:tr>
        <w:tc>
          <w:tcPr>
            <w:tcW w:type="dxa" w:w="2160"/>
          </w:tcPr>
          <w:p>
            <w:r>
              <w:rPr>
                <w:sz w:val="18"/>
              </w:rPr>
              <w:t>2:00–6:00 PM</w:t>
            </w:r>
          </w:p>
        </w:tc>
        <w:tc>
          <w:tcPr>
            <w:tcW w:type="dxa" w:w="2160"/>
          </w:tcPr>
          <w:p>
            <w:r>
              <w:rPr>
                <w:sz w:val="18"/>
              </w:rPr>
              <w:t>J (Power), F (Emotional), D (Financial)</w:t>
            </w:r>
          </w:p>
        </w:tc>
        <w:tc>
          <w:tcPr>
            <w:tcW w:type="dxa" w:w="2160"/>
          </w:tcPr>
          <w:p>
            <w:r>
              <w:rPr>
                <w:sz w:val="18"/>
              </w:rPr>
              <w:t>Frustrated, Depleted</w:t>
            </w:r>
          </w:p>
        </w:tc>
        <w:tc>
          <w:tcPr>
            <w:tcW w:type="dxa" w:w="2160"/>
          </w:tcPr>
          <w:p>
            <w:r>
              <w:rPr>
                <w:sz w:val="18"/>
              </w:rPr>
              <w:t>Emergency charging partnerships; "Afternoon survival" data packs; Empathy messaging</w:t>
            </w:r>
          </w:p>
        </w:tc>
      </w:tr>
      <w:tr>
        <w:tc>
          <w:tcPr>
            <w:tcW w:type="dxa" w:w="2160"/>
          </w:tcPr>
          <w:p>
            <w:r>
              <w:rPr>
                <w:sz w:val="18"/>
              </w:rPr>
              <w:t>6:00–10:00 PM</w:t>
            </w:r>
          </w:p>
        </w:tc>
        <w:tc>
          <w:tcPr>
            <w:tcW w:type="dxa" w:w="2160"/>
          </w:tcPr>
          <w:p>
            <w:r>
              <w:rPr>
                <w:sz w:val="18"/>
              </w:rPr>
              <w:t>G (Leisure), E (Social), Recovery</w:t>
            </w:r>
          </w:p>
        </w:tc>
        <w:tc>
          <w:tcPr>
            <w:tcW w:type="dxa" w:w="2160"/>
          </w:tcPr>
          <w:p>
            <w:r>
              <w:rPr>
                <w:sz w:val="18"/>
              </w:rPr>
              <w:t>Relieved, Social</w:t>
            </w:r>
          </w:p>
        </w:tc>
        <w:tc>
          <w:tcPr>
            <w:tcW w:type="dxa" w:w="2160"/>
          </w:tcPr>
          <w:p>
            <w:r>
              <w:rPr>
                <w:sz w:val="18"/>
              </w:rPr>
              <w:t>Evening streaming bundles; Social data bonuses; Family calling plans</w:t>
            </w:r>
          </w:p>
        </w:tc>
      </w:tr>
    </w:tbl>
    <w:p/>
    <w:p>
      <w:pPr>
        <w:pStyle w:val="Heading2"/>
      </w:pPr>
      <w:r>
        <w:rPr>
          <w:color w:val="1A476F"/>
        </w:rPr>
        <w:t>Individual Emotional Arcs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Respondent</w:t>
            </w:r>
          </w:p>
        </w:tc>
        <w:tc>
          <w:tcPr>
            <w:tcW w:type="dxa" w:w="1728"/>
          </w:tcPr>
          <w:p>
            <w:r>
              <w:rPr>
                <w:b/>
              </w:rPr>
              <w:t>Morning</w:t>
            </w:r>
          </w:p>
        </w:tc>
        <w:tc>
          <w:tcPr>
            <w:tcW w:type="dxa" w:w="1728"/>
          </w:tcPr>
          <w:p>
            <w:r>
              <w:rPr>
                <w:b/>
              </w:rPr>
              <w:t>Midday</w:t>
            </w:r>
          </w:p>
        </w:tc>
        <w:tc>
          <w:tcPr>
            <w:tcW w:type="dxa" w:w="1728"/>
          </w:tcPr>
          <w:p>
            <w:r>
              <w:rPr>
                <w:b/>
              </w:rPr>
              <w:t>Afternoon</w:t>
            </w:r>
          </w:p>
        </w:tc>
        <w:tc>
          <w:tcPr>
            <w:tcW w:type="dxa" w:w="1728"/>
          </w:tcPr>
          <w:p>
            <w:r>
              <w:rPr>
                <w:b/>
              </w:rPr>
              <w:t>Evening</w:t>
            </w:r>
          </w:p>
        </w:tc>
      </w:tr>
      <w:tr>
        <w:tc>
          <w:tcPr>
            <w:tcW w:type="dxa" w:w="1728"/>
          </w:tcPr>
          <w:p>
            <w:r>
              <w:t>Adekoya Adesola</w:t>
            </w:r>
          </w:p>
        </w:tc>
        <w:tc>
          <w:tcPr>
            <w:tcW w:type="dxa" w:w="1728"/>
          </w:tcPr>
          <w:p>
            <w:r>
              <w:t>+0.3 ↔</w:t>
            </w:r>
          </w:p>
        </w:tc>
        <w:tc>
          <w:tcPr>
            <w:tcW w:type="dxa" w:w="1728"/>
          </w:tcPr>
          <w:p>
            <w:r>
              <w:t>-3.7 ↓</w:t>
            </w:r>
          </w:p>
        </w:tc>
        <w:tc>
          <w:tcPr>
            <w:tcW w:type="dxa" w:w="1728"/>
          </w:tcPr>
          <w:p>
            <w:r>
              <w:t>-7.7 ↓</w:t>
            </w:r>
          </w:p>
        </w:tc>
        <w:tc>
          <w:tcPr>
            <w:tcW w:type="dxa" w:w="1728"/>
          </w:tcPr>
          <w:p>
            <w:r>
              <w:t>-3.0 ↓</w:t>
            </w:r>
          </w:p>
        </w:tc>
      </w:tr>
      <w:tr>
        <w:tc>
          <w:tcPr>
            <w:tcW w:type="dxa" w:w="1728"/>
          </w:tcPr>
          <w:p>
            <w:r>
              <w:t>Adekunle Adepetun</w:t>
            </w:r>
          </w:p>
        </w:tc>
        <w:tc>
          <w:tcPr>
            <w:tcW w:type="dxa" w:w="1728"/>
          </w:tcPr>
          <w:p>
            <w:r>
              <w:t>+1.0 ↑</w:t>
            </w:r>
          </w:p>
        </w:tc>
        <w:tc>
          <w:tcPr>
            <w:tcW w:type="dxa" w:w="1728"/>
          </w:tcPr>
          <w:p>
            <w:r>
              <w:t>-1.0 ↓</w:t>
            </w:r>
          </w:p>
        </w:tc>
        <w:tc>
          <w:tcPr>
            <w:tcW w:type="dxa" w:w="1728"/>
          </w:tcPr>
          <w:p>
            <w:r>
              <w:t>-4.3 ↓</w:t>
            </w:r>
          </w:p>
        </w:tc>
        <w:tc>
          <w:tcPr>
            <w:tcW w:type="dxa" w:w="1728"/>
          </w:tcPr>
          <w:p>
            <w:r>
              <w:t>-3.0 ↓</w:t>
            </w:r>
          </w:p>
        </w:tc>
      </w:tr>
      <w:tr>
        <w:tc>
          <w:tcPr>
            <w:tcW w:type="dxa" w:w="1728"/>
          </w:tcPr>
          <w:p>
            <w:r>
              <w:t>Adeola Olowolagba</w:t>
            </w:r>
          </w:p>
        </w:tc>
        <w:tc>
          <w:tcPr>
            <w:tcW w:type="dxa" w:w="1728"/>
          </w:tcPr>
          <w:p>
            <w:r>
              <w:t>+1.7 ↑</w:t>
            </w:r>
          </w:p>
        </w:tc>
        <w:tc>
          <w:tcPr>
            <w:tcW w:type="dxa" w:w="1728"/>
          </w:tcPr>
          <w:p>
            <w:r>
              <w:t>-0.3 ↔</w:t>
            </w:r>
          </w:p>
        </w:tc>
        <w:tc>
          <w:tcPr>
            <w:tcW w:type="dxa" w:w="1728"/>
          </w:tcPr>
          <w:p>
            <w:r>
              <w:t>-2.7 ↓</w:t>
            </w:r>
          </w:p>
        </w:tc>
        <w:tc>
          <w:tcPr>
            <w:tcW w:type="dxa" w:w="1728"/>
          </w:tcPr>
          <w:p>
            <w:r>
              <w:t>-1.7 ↓</w:t>
            </w:r>
          </w:p>
        </w:tc>
      </w:tr>
      <w:tr>
        <w:tc>
          <w:tcPr>
            <w:tcW w:type="dxa" w:w="1728"/>
          </w:tcPr>
          <w:p>
            <w:r>
              <w:t>Adewumi Omotoyosi</w:t>
            </w:r>
          </w:p>
        </w:tc>
        <w:tc>
          <w:tcPr>
            <w:tcW w:type="dxa" w:w="1728"/>
          </w:tcPr>
          <w:p>
            <w:r>
              <w:t>+1.1 ↑</w:t>
            </w:r>
          </w:p>
        </w:tc>
        <w:tc>
          <w:tcPr>
            <w:tcW w:type="dxa" w:w="1728"/>
          </w:tcPr>
          <w:p>
            <w:r>
              <w:t>+0.9 ↑</w:t>
            </w:r>
          </w:p>
        </w:tc>
        <w:tc>
          <w:tcPr>
            <w:tcW w:type="dxa" w:w="1728"/>
          </w:tcPr>
          <w:p>
            <w:r>
              <w:t>+0.3 ↔</w:t>
            </w:r>
          </w:p>
        </w:tc>
        <w:tc>
          <w:tcPr>
            <w:tcW w:type="dxa" w:w="1728"/>
          </w:tcPr>
          <w:p>
            <w:r>
              <w:t>+1.3 ↑</w:t>
            </w:r>
          </w:p>
        </w:tc>
      </w:tr>
      <w:tr>
        <w:tc>
          <w:tcPr>
            <w:tcW w:type="dxa" w:w="1728"/>
          </w:tcPr>
          <w:p>
            <w:r>
              <w:t>Atolagbe Flora Yemi</w:t>
            </w:r>
          </w:p>
        </w:tc>
        <w:tc>
          <w:tcPr>
            <w:tcW w:type="dxa" w:w="1728"/>
          </w:tcPr>
          <w:p>
            <w:r>
              <w:t>+0.5 ↔</w:t>
            </w:r>
          </w:p>
        </w:tc>
        <w:tc>
          <w:tcPr>
            <w:tcW w:type="dxa" w:w="1728"/>
          </w:tcPr>
          <w:p>
            <w:r>
              <w:t>-0.5 ↔</w:t>
            </w:r>
          </w:p>
        </w:tc>
        <w:tc>
          <w:tcPr>
            <w:tcW w:type="dxa" w:w="1728"/>
          </w:tcPr>
          <w:p>
            <w:r>
              <w:t>-1.8 ↓</w:t>
            </w:r>
          </w:p>
        </w:tc>
        <w:tc>
          <w:tcPr>
            <w:tcW w:type="dxa" w:w="1728"/>
          </w:tcPr>
          <w:p>
            <w:r>
              <w:t>-0.8 ↓</w:t>
            </w:r>
          </w:p>
        </w:tc>
      </w:tr>
      <w:tr>
        <w:tc>
          <w:tcPr>
            <w:tcW w:type="dxa" w:w="1728"/>
          </w:tcPr>
          <w:p>
            <w:r>
              <w:t>Daramola Solomon</w:t>
            </w:r>
          </w:p>
        </w:tc>
        <w:tc>
          <w:tcPr>
            <w:tcW w:type="dxa" w:w="1728"/>
          </w:tcPr>
          <w:p>
            <w:r>
              <w:t>-1.0 ↓</w:t>
            </w:r>
          </w:p>
        </w:tc>
        <w:tc>
          <w:tcPr>
            <w:tcW w:type="dxa" w:w="1728"/>
          </w:tcPr>
          <w:p>
            <w:r>
              <w:t>-3.0 ↓</w:t>
            </w:r>
          </w:p>
        </w:tc>
        <w:tc>
          <w:tcPr>
            <w:tcW w:type="dxa" w:w="1728"/>
          </w:tcPr>
          <w:p>
            <w:r>
              <w:t>-5.0 ↓</w:t>
            </w:r>
          </w:p>
        </w:tc>
        <w:tc>
          <w:tcPr>
            <w:tcW w:type="dxa" w:w="1728"/>
          </w:tcPr>
          <w:p>
            <w:r>
              <w:t>-3.0 ↓</w:t>
            </w:r>
          </w:p>
        </w:tc>
      </w:tr>
      <w:tr>
        <w:tc>
          <w:tcPr>
            <w:tcW w:type="dxa" w:w="1728"/>
          </w:tcPr>
          <w:p>
            <w:r>
              <w:t>Ehindero Sunday</w:t>
            </w:r>
          </w:p>
        </w:tc>
        <w:tc>
          <w:tcPr>
            <w:tcW w:type="dxa" w:w="1728"/>
          </w:tcPr>
          <w:p>
            <w:r>
              <w:t>-0.3 ↔</w:t>
            </w:r>
          </w:p>
        </w:tc>
        <w:tc>
          <w:tcPr>
            <w:tcW w:type="dxa" w:w="1728"/>
          </w:tcPr>
          <w:p>
            <w:r>
              <w:t>-0.3 ↔</w:t>
            </w:r>
          </w:p>
        </w:tc>
        <w:tc>
          <w:tcPr>
            <w:tcW w:type="dxa" w:w="1728"/>
          </w:tcPr>
          <w:p>
            <w:r>
              <w:t>-1.1 ↓</w:t>
            </w:r>
          </w:p>
        </w:tc>
        <w:tc>
          <w:tcPr>
            <w:tcW w:type="dxa" w:w="1728"/>
          </w:tcPr>
          <w:p>
            <w:r>
              <w:t>-0.1 ↔</w:t>
            </w:r>
          </w:p>
        </w:tc>
      </w:tr>
      <w:tr>
        <w:tc>
          <w:tcPr>
            <w:tcW w:type="dxa" w:w="1728"/>
          </w:tcPr>
          <w:p>
            <w:r>
              <w:t>Mary Ajifowowe Oluwaseun</w:t>
            </w:r>
          </w:p>
        </w:tc>
        <w:tc>
          <w:tcPr>
            <w:tcW w:type="dxa" w:w="1728"/>
          </w:tcPr>
          <w:p>
            <w:r>
              <w:t>+1.0 ↑</w:t>
            </w:r>
          </w:p>
        </w:tc>
        <w:tc>
          <w:tcPr>
            <w:tcW w:type="dxa" w:w="1728"/>
          </w:tcPr>
          <w:p>
            <w:r>
              <w:t>+0.6 ↑</w:t>
            </w:r>
          </w:p>
        </w:tc>
        <w:tc>
          <w:tcPr>
            <w:tcW w:type="dxa" w:w="1728"/>
          </w:tcPr>
          <w:p>
            <w:r>
              <w:t>-1.0 ↓</w:t>
            </w:r>
          </w:p>
        </w:tc>
        <w:tc>
          <w:tcPr>
            <w:tcW w:type="dxa" w:w="1728"/>
          </w:tcPr>
          <w:p>
            <w:r>
              <w:t>+0.0 ↔</w:t>
            </w:r>
          </w:p>
        </w:tc>
      </w:tr>
      <w:tr>
        <w:tc>
          <w:tcPr>
            <w:tcW w:type="dxa" w:w="1728"/>
          </w:tcPr>
          <w:p>
            <w:r>
              <w:t>Ogunleye Odunayo</w:t>
            </w:r>
          </w:p>
        </w:tc>
        <w:tc>
          <w:tcPr>
            <w:tcW w:type="dxa" w:w="1728"/>
          </w:tcPr>
          <w:p>
            <w:r>
              <w:t>+2.0 ↑</w:t>
            </w:r>
          </w:p>
        </w:tc>
        <w:tc>
          <w:tcPr>
            <w:tcW w:type="dxa" w:w="1728"/>
          </w:tcPr>
          <w:p>
            <w:r>
              <w:t>+1.3 ↑</w:t>
            </w:r>
          </w:p>
        </w:tc>
        <w:tc>
          <w:tcPr>
            <w:tcW w:type="dxa" w:w="1728"/>
          </w:tcPr>
          <w:p>
            <w:r>
              <w:t>+1.0 ↑</w:t>
            </w:r>
          </w:p>
        </w:tc>
        <w:tc>
          <w:tcPr>
            <w:tcW w:type="dxa" w:w="1728"/>
          </w:tcPr>
          <w:p>
            <w:r>
              <w:t>+2.0 ↑</w:t>
            </w:r>
          </w:p>
        </w:tc>
      </w:tr>
      <w:tr>
        <w:tc>
          <w:tcPr>
            <w:tcW w:type="dxa" w:w="1728"/>
          </w:tcPr>
          <w:p>
            <w:r>
              <w:t>Olaitan Toyeeb</w:t>
            </w:r>
          </w:p>
        </w:tc>
        <w:tc>
          <w:tcPr>
            <w:tcW w:type="dxa" w:w="1728"/>
          </w:tcPr>
          <w:p>
            <w:r>
              <w:t>-0.2 ↔</w:t>
            </w:r>
          </w:p>
        </w:tc>
        <w:tc>
          <w:tcPr>
            <w:tcW w:type="dxa" w:w="1728"/>
          </w:tcPr>
          <w:p>
            <w:r>
              <w:t>-0.2 ↔</w:t>
            </w:r>
          </w:p>
        </w:tc>
        <w:tc>
          <w:tcPr>
            <w:tcW w:type="dxa" w:w="1728"/>
          </w:tcPr>
          <w:p>
            <w:r>
              <w:t>-1.1 ↓</w:t>
            </w:r>
          </w:p>
        </w:tc>
        <w:tc>
          <w:tcPr>
            <w:tcW w:type="dxa" w:w="1728"/>
          </w:tcPr>
          <w:p>
            <w:r>
              <w:t>-0.1 ↔</w:t>
            </w:r>
          </w:p>
        </w:tc>
      </w:tr>
      <w:tr>
        <w:tc>
          <w:tcPr>
            <w:tcW w:type="dxa" w:w="1728"/>
          </w:tcPr>
          <w:p>
            <w:r>
              <w:t>Olumuyiwa Folarin</w:t>
            </w:r>
          </w:p>
        </w:tc>
        <w:tc>
          <w:tcPr>
            <w:tcW w:type="dxa" w:w="1728"/>
          </w:tcPr>
          <w:p>
            <w:r>
              <w:t>-0.1 ↔</w:t>
            </w:r>
          </w:p>
        </w:tc>
        <w:tc>
          <w:tcPr>
            <w:tcW w:type="dxa" w:w="1728"/>
          </w:tcPr>
          <w:p>
            <w:r>
              <w:t>-0.7 ↓</w:t>
            </w:r>
          </w:p>
        </w:tc>
        <w:tc>
          <w:tcPr>
            <w:tcW w:type="dxa" w:w="1728"/>
          </w:tcPr>
          <w:p>
            <w:r>
              <w:t>-2.1 ↓</w:t>
            </w:r>
          </w:p>
        </w:tc>
        <w:tc>
          <w:tcPr>
            <w:tcW w:type="dxa" w:w="1728"/>
          </w:tcPr>
          <w:p>
            <w:r>
              <w:t>-1.1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