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pPr>
      <w:r>
        <w:rPr>
          <w:color w:val="1A476F"/>
          <w:sz w:val="72"/>
        </w:rPr>
        <w:t>Customer Persona</w:t>
      </w:r>
    </w:p>
    <w:p>
      <w:pPr>
        <w:pStyle w:val="Heading1"/>
      </w:pPr>
      <w:r>
        <w:rPr>
          <w:color w:val="2E86AB"/>
          <w:sz w:val="56"/>
        </w:rPr>
        <w:t>Adewumi Omotoyosi</w:t>
      </w:r>
    </w:p>
    <w:p>
      <w:r>
        <w:rPr>
          <w:i/>
          <w:color w:val="666666"/>
          <w:sz w:val="32"/>
        </w:rPr>
        <w:t>Persona Archetype: The Invisible Engine</w:t>
      </w:r>
    </w:p>
    <w:p/>
    <w:p>
      <w:r>
        <w:rPr>
          <w:sz w:val="24"/>
        </w:rPr>
        <w:t>Telecom Ethnography Project — “A Day in the Life” Diary Study</w:t>
      </w:r>
    </w:p>
    <w:p>
      <w:r>
        <w:rPr>
          <w:color w:val="888888"/>
          <w:sz w:val="24"/>
        </w:rPr>
        <w:t>Lagos, Nigeria • April 16–22, 2026 • 7-Day Longitudinal Diary</w:t>
      </w:r>
    </w:p>
    <w:p>
      <w:r>
        <w:br w:type="page"/>
      </w:r>
    </w:p>
    <w:p>
      <w:pPr>
        <w:pStyle w:val="Heading1"/>
      </w:pPr>
      <w:r>
        <w:rPr>
          <w:color w:val="1A476F"/>
        </w:rPr>
        <w:t>Dimension 1: Demographics &amp; Life Context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Detail</w:t>
            </w:r>
          </w:p>
        </w:tc>
      </w:tr>
      <w:tr>
        <w:tc>
          <w:tcPr>
            <w:tcW w:type="dxa" w:w="4320"/>
          </w:tcPr>
          <w:p>
            <w:r>
              <w:rPr>
                <w:sz w:val="20"/>
              </w:rPr>
              <w:t>Name</w:t>
            </w:r>
          </w:p>
        </w:tc>
        <w:tc>
          <w:tcPr>
            <w:tcW w:type="dxa" w:w="4320"/>
          </w:tcPr>
          <w:p>
            <w:r>
              <w:rPr>
                <w:sz w:val="20"/>
              </w:rPr>
              <w:t>Adewumi Omotoyosi</w:t>
            </w:r>
          </w:p>
        </w:tc>
      </w:tr>
      <w:tr>
        <w:tc>
          <w:tcPr>
            <w:tcW w:type="dxa" w:w="4320"/>
          </w:tcPr>
          <w:p>
            <w:r>
              <w:rPr>
                <w:sz w:val="20"/>
              </w:rPr>
              <w:t>Location</w:t>
            </w:r>
          </w:p>
        </w:tc>
        <w:tc>
          <w:tcPr>
            <w:tcW w:type="dxa" w:w="4320"/>
          </w:tcPr>
          <w:p>
            <w:r>
              <w:rPr>
                <w:sz w:val="20"/>
              </w:rPr>
              <w:t>Lagos — commutes via tricycle + BRT to Alagomeji/Yaba corridor</w:t>
            </w:r>
          </w:p>
        </w:tc>
      </w:tr>
      <w:tr>
        <w:tc>
          <w:tcPr>
            <w:tcW w:type="dxa" w:w="4320"/>
          </w:tcPr>
          <w:p>
            <w:r>
              <w:rPr>
                <w:sz w:val="20"/>
              </w:rPr>
              <w:t>Occupation</w:t>
            </w:r>
          </w:p>
        </w:tc>
        <w:tc>
          <w:tcPr>
            <w:tcW w:type="dxa" w:w="4320"/>
          </w:tcPr>
          <w:p>
            <w:r>
              <w:rPr>
                <w:sz w:val="20"/>
              </w:rPr>
              <w:t>Remote worker (graphic design, digital tasks) + full-time homemaker</w:t>
            </w:r>
          </w:p>
        </w:tc>
      </w:tr>
      <w:tr>
        <w:tc>
          <w:tcPr>
            <w:tcW w:type="dxa" w:w="4320"/>
          </w:tcPr>
          <w:p>
            <w:r>
              <w:rPr>
                <w:sz w:val="20"/>
              </w:rPr>
              <w:t>Household</w:t>
            </w:r>
          </w:p>
        </w:tc>
        <w:tc>
          <w:tcPr>
            <w:tcW w:type="dxa" w:w="4320"/>
          </w:tcPr>
          <w:p>
            <w:r>
              <w:rPr>
                <w:sz w:val="20"/>
              </w:rPr>
              <w:t>Multi-generational: lives with mother and young children</w:t>
            </w:r>
          </w:p>
        </w:tc>
      </w:tr>
      <w:tr>
        <w:tc>
          <w:tcPr>
            <w:tcW w:type="dxa" w:w="4320"/>
          </w:tcPr>
          <w:p>
            <w:r>
              <w:rPr>
                <w:sz w:val="20"/>
              </w:rPr>
              <w:t>Diary Period</w:t>
            </w:r>
          </w:p>
        </w:tc>
        <w:tc>
          <w:tcPr>
            <w:tcW w:type="dxa" w:w="4320"/>
          </w:tcPr>
          <w:p>
            <w:r>
              <w:rPr>
                <w:sz w:val="20"/>
              </w:rPr>
              <w:t>16–22 April 2026 (7 consecutive days)</w:t>
            </w:r>
          </w:p>
        </w:tc>
      </w:tr>
      <w:tr>
        <w:tc>
          <w:tcPr>
            <w:tcW w:type="dxa" w:w="4320"/>
          </w:tcPr>
          <w:p>
            <w:r>
              <w:rPr>
                <w:sz w:val="20"/>
              </w:rPr>
              <w:t>Primary Network</w:t>
            </w:r>
          </w:p>
        </w:tc>
        <w:tc>
          <w:tcPr>
            <w:tcW w:type="dxa" w:w="4320"/>
          </w:tcPr>
          <w:p>
            <w:r>
              <w:rPr>
                <w:sz w:val="20"/>
              </w:rPr>
              <w:t>MTN (calls and data) — single SIM, no switching</w:t>
            </w:r>
          </w:p>
        </w:tc>
      </w:tr>
      <w:tr>
        <w:tc>
          <w:tcPr>
            <w:tcW w:type="dxa" w:w="4320"/>
          </w:tcPr>
          <w:p>
            <w:r>
              <w:rPr>
                <w:sz w:val="20"/>
              </w:rPr>
              <w:t>Phone Behaviour</w:t>
            </w:r>
          </w:p>
        </w:tc>
        <w:tc>
          <w:tcPr>
            <w:tcW w:type="dxa" w:w="4320"/>
          </w:tcPr>
          <w:p>
            <w:r>
              <w:rPr>
                <w:sz w:val="20"/>
              </w:rPr>
              <w:t>Does NOT use phone immediately on waking (6/7 days)</w:t>
            </w:r>
          </w:p>
        </w:tc>
      </w:tr>
    </w:tbl>
    <w:p/>
    <w:p>
      <w:r>
        <w:t>Omotoyosi occupies a dual role that defines her entire daily experience: she is both a remote professional (graphic designer, digital content creator) and the primary domestic operator of a multi-generational household. She cares for young children and her mother, cooking separate meals for each based on age and dietary needs. Unlike most respondents in this study, she does not reach for her phone upon waking — her first acts are always domestic: house chores, cooking, bathing. The phone enters her day only after the household is running.</w:t>
      </w:r>
    </w:p>
    <w:p>
      <w:pPr>
        <w:pStyle w:val="Heading1"/>
      </w:pPr>
      <w:r>
        <w:rPr>
          <w:color w:val="1A476F"/>
        </w:rPr>
        <w:t>Dimension 2: A Typical Day</w:t>
      </w:r>
    </w:p>
    <w:p>
      <w:pPr>
        <w:pStyle w:val="Heading3"/>
      </w:pPr>
      <w:r>
        <w:rPr>
          <w:color w:val="2E86AB"/>
        </w:rPr>
        <w:t>Morning (05:00 – 12:00)</w:t>
      </w:r>
    </w:p>
    <w:p>
      <w:r>
        <w:t>Omotoyosi wakes between 5:00 and 6:47 AM. Her morning is entirely consumed by domestic labour. Every single morning across all 7 diary days begins with house chores, cooking, and bathing — in that order. Prayer appears in 5 of 7 entries, woven into the chores rather than preceding them. Her most urgent priority is always the same: preparing breakfast. But this is not a simple task — she prepares multiple meals because her mother and children require different food.</w:t>
      </w:r>
    </w:p>
    <w:p>
      <w:pPr>
        <w:spacing w:before="120" w:after="120"/>
        <w:ind w:left="850"/>
      </w:pPr>
      <w:r>
        <w:rPr>
          <w:i/>
          <w:color w:val="555555"/>
          <w:sz w:val="22"/>
        </w:rPr>
        <w:t>“Made breakfast for my mum and kids. These are usually different meals due to the age difference”</w:t>
      </w:r>
    </w:p>
    <w:p>
      <w:r>
        <w:t>On days when she leaves home (only 2 of 7 days), she takes public transport: a tricycle to the BRT terminal, then BRT to Alagomeji in Yaba. Her commute is unusually smooth — “a straight 15 mins drive” — making her an outlier among respondents who universally report transport stress. On the other 5 days, she stays home, operating as both caregiver and remote worker simultaneously.</w:t>
      </w:r>
    </w:p>
    <w:p>
      <w:pPr>
        <w:spacing w:before="120" w:after="120"/>
        <w:ind w:left="850"/>
      </w:pPr>
      <w:r>
        <w:rPr>
          <w:i/>
          <w:color w:val="555555"/>
          <w:sz w:val="22"/>
        </w:rPr>
        <w:t>“Boarded a tricycle from my home to the main BRT terminal and boarded a BRT to Alagomeji bus stop in Yaba”</w:t>
      </w:r>
    </w:p>
    <w:p>
      <w:pPr>
        <w:pStyle w:val="Heading3"/>
      </w:pPr>
      <w:r>
        <w:rPr>
          <w:color w:val="2E86AB"/>
        </w:rPr>
        <w:t>Afternoon (12:00 – 18:00)</w:t>
      </w:r>
    </w:p>
    <w:p>
      <w:r>
        <w:t>Afternoons are where her dual life collides most visibly. On home days, she spends hours cleaning — “almost 4 hrs” on the children’s room alone — while simultaneously submitting remote work tasks, creating graphic designs for clients and her church, and uploading social media posts. She uses her phone as her primary design tool, noting that she is “not provident with designs using the laptop.” This makes her phone not just a communication device but her entire professional workstation.</w:t>
      </w:r>
    </w:p>
    <w:p>
      <w:pPr>
        <w:spacing w:before="120" w:after="120"/>
        <w:ind w:left="850"/>
      </w:pPr>
      <w:r>
        <w:rPr>
          <w:i/>
          <w:color w:val="555555"/>
          <w:sz w:val="22"/>
        </w:rPr>
        <w:t>“I worked remotely today so I’ve been able to submit my tasks. I also made some graphic designs for a client and church”</w:t>
      </w:r>
    </w:p>
    <w:p>
      <w:pPr>
        <w:spacing w:before="120" w:after="120"/>
        <w:ind w:left="850"/>
      </w:pPr>
      <w:r>
        <w:rPr>
          <w:i/>
          <w:color w:val="555555"/>
          <w:sz w:val="22"/>
        </w:rPr>
        <w:t>“Making the graphic designs. I’m not provident with designs using the laptop”</w:t>
      </w:r>
    </w:p>
    <w:p>
      <w:r>
        <w:t>Her spending is minimal and entirely needs-driven. On 5 of 7 days, she spends nothing at all. When she does spend, it’s only on transport (“I needed to board cabs”). She frames non-spending positively: “I have all I need at home.”</w:t>
      </w:r>
    </w:p>
    <w:p>
      <w:pPr>
        <w:pStyle w:val="Heading3"/>
      </w:pPr>
      <w:r>
        <w:rPr>
          <w:color w:val="2E86AB"/>
        </w:rPr>
        <w:t>Evening (18:00 – 22:00)</w:t>
      </w:r>
    </w:p>
    <w:p>
      <w:r>
        <w:t>Evenings follow a rigid pattern: make dinner, then collapse. She made dinner on 6 of 7 evenings. Her relaxation is almost exclusively sleeping — not scrolling, not streaming, not gaming. On 5 of 7 days she explicitly answers “nothing” when asked about phone entertainment. Her relaxation time is “occasionally” to “rarely” available, and she recognises this scarcity. When she does use her phone for leisure, it’s movies or games — but these are rare exceptions, not habits.</w:t>
      </w:r>
    </w:p>
    <w:p>
      <w:pPr>
        <w:spacing w:before="120" w:after="120"/>
        <w:ind w:left="850"/>
      </w:pPr>
      <w:r>
        <w:rPr>
          <w:i/>
          <w:color w:val="555555"/>
          <w:sz w:val="22"/>
        </w:rPr>
        <w:t>“Made dinner”</w:t>
      </w:r>
    </w:p>
    <w:p>
      <w:r>
        <w:t>She prepares clothes for tomorrow on work days (3 of 7) but not on home days, suggesting a clear mental distinction between “work mode” and “home mode” even though both involve intense labour.</w:t>
      </w:r>
    </w:p>
    <w:p>
      <w:pPr>
        <w:pStyle w:val="Heading1"/>
      </w:pPr>
      <w:r>
        <w:rPr>
          <w:color w:val="1A476F"/>
        </w:rPr>
        <w:t>Dimension 3: Goals &amp; Motivations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Type</w:t>
            </w:r>
          </w:p>
        </w:tc>
        <w:tc>
          <w:tcPr>
            <w:tcW w:type="dxa" w:w="2880"/>
          </w:tcPr>
          <w:p>
            <w:r>
              <w:rPr>
                <w:b/>
                <w:sz w:val="20"/>
              </w:rPr>
              <w:t>Goal</w:t>
            </w:r>
          </w:p>
        </w:tc>
        <w:tc>
          <w:tcPr>
            <w:tcW w:type="dxa" w:w="2880"/>
          </w:tcPr>
          <w:p>
            <w:r>
              <w:rPr>
                <w:b/>
                <w:sz w:val="20"/>
              </w:rPr>
              <w:t>Evidence</w:t>
            </w:r>
          </w:p>
        </w:tc>
      </w:tr>
      <w:tr>
        <w:tc>
          <w:tcPr>
            <w:tcW w:type="dxa" w:w="2880"/>
          </w:tcPr>
          <w:p>
            <w:r>
              <w:rPr>
                <w:sz w:val="20"/>
              </w:rPr>
              <w:t>Daily</w:t>
            </w:r>
          </w:p>
        </w:tc>
        <w:tc>
          <w:tcPr>
            <w:tcW w:type="dxa" w:w="2880"/>
          </w:tcPr>
          <w:p>
            <w:r>
              <w:rPr>
                <w:sz w:val="20"/>
              </w:rPr>
              <w:t>Feed the household</w:t>
            </w:r>
          </w:p>
        </w:tc>
        <w:tc>
          <w:tcPr>
            <w:tcW w:type="dxa" w:w="2880"/>
          </w:tcPr>
          <w:p>
            <w:r>
              <w:rPr>
                <w:sz w:val="20"/>
              </w:rPr>
              <w:t>Preparing breakfast is the #1 priority in 7/7 entries</w:t>
            </w:r>
          </w:p>
        </w:tc>
      </w:tr>
      <w:tr>
        <w:tc>
          <w:tcPr>
            <w:tcW w:type="dxa" w:w="2880"/>
          </w:tcPr>
          <w:p>
            <w:r>
              <w:rPr>
                <w:sz w:val="20"/>
              </w:rPr>
              <w:t>Daily</w:t>
            </w:r>
          </w:p>
        </w:tc>
        <w:tc>
          <w:tcPr>
            <w:tcW w:type="dxa" w:w="2880"/>
          </w:tcPr>
          <w:p>
            <w:r>
              <w:rPr>
                <w:sz w:val="20"/>
              </w:rPr>
              <w:t>Maintain household order</w:t>
            </w:r>
          </w:p>
        </w:tc>
        <w:tc>
          <w:tcPr>
            <w:tcW w:type="dxa" w:w="2880"/>
          </w:tcPr>
          <w:p>
            <w:r>
              <w:rPr>
                <w:sz w:val="20"/>
              </w:rPr>
              <w:t>4 hours cleaning children’s room; supervising kids to clean</w:t>
            </w:r>
          </w:p>
        </w:tc>
      </w:tr>
      <w:tr>
        <w:tc>
          <w:tcPr>
            <w:tcW w:type="dxa" w:w="2880"/>
          </w:tcPr>
          <w:p>
            <w:r>
              <w:rPr>
                <w:sz w:val="20"/>
              </w:rPr>
              <w:t>Professional</w:t>
            </w:r>
          </w:p>
        </w:tc>
        <w:tc>
          <w:tcPr>
            <w:tcW w:type="dxa" w:w="2880"/>
          </w:tcPr>
          <w:p>
            <w:r>
              <w:rPr>
                <w:sz w:val="20"/>
              </w:rPr>
              <w:t>Submit remote work tasks</w:t>
            </w:r>
          </w:p>
        </w:tc>
        <w:tc>
          <w:tcPr>
            <w:tcW w:type="dxa" w:w="2880"/>
          </w:tcPr>
          <w:p>
            <w:r>
              <w:rPr>
                <w:sz w:val="20"/>
              </w:rPr>
              <w:t>Graphic design for clients + church on phone</w:t>
            </w:r>
          </w:p>
        </w:tc>
      </w:tr>
      <w:tr>
        <w:tc>
          <w:tcPr>
            <w:tcW w:type="dxa" w:w="2880"/>
          </w:tcPr>
          <w:p>
            <w:r>
              <w:rPr>
                <w:sz w:val="20"/>
              </w:rPr>
              <w:t>Relational</w:t>
            </w:r>
          </w:p>
        </w:tc>
        <w:tc>
          <w:tcPr>
            <w:tcW w:type="dxa" w:w="2880"/>
          </w:tcPr>
          <w:p>
            <w:r>
              <w:rPr>
                <w:sz w:val="20"/>
              </w:rPr>
              <w:t>Care for mother</w:t>
            </w:r>
          </w:p>
        </w:tc>
        <w:tc>
          <w:tcPr>
            <w:tcW w:type="dxa" w:w="2880"/>
          </w:tcPr>
          <w:p>
            <w:r>
              <w:rPr>
                <w:sz w:val="20"/>
              </w:rPr>
              <w:t>Separate meals, birthday gifts, prayer together</w:t>
            </w:r>
          </w:p>
        </w:tc>
      </w:tr>
      <w:tr>
        <w:tc>
          <w:tcPr>
            <w:tcW w:type="dxa" w:w="2880"/>
          </w:tcPr>
          <w:p>
            <w:r>
              <w:rPr>
                <w:sz w:val="20"/>
              </w:rPr>
              <w:t>Personal</w:t>
            </w:r>
          </w:p>
        </w:tc>
        <w:tc>
          <w:tcPr>
            <w:tcW w:type="dxa" w:w="2880"/>
          </w:tcPr>
          <w:p>
            <w:r>
              <w:rPr>
                <w:sz w:val="20"/>
              </w:rPr>
              <w:t>Rest</w:t>
            </w:r>
          </w:p>
        </w:tc>
        <w:tc>
          <w:tcPr>
            <w:tcW w:type="dxa" w:w="2880"/>
          </w:tcPr>
          <w:p>
            <w:r>
              <w:rPr>
                <w:sz w:val="20"/>
              </w:rPr>
              <w:t>“Sleeping” is her most frequent relaxation activity — rest is aspirational, not guaranteed</w:t>
            </w:r>
          </w:p>
        </w:tc>
      </w:tr>
    </w:tbl>
    <w:p/>
    <w:p>
      <w:pPr>
        <w:pStyle w:val="Heading1"/>
      </w:pPr>
      <w:r>
        <w:rPr>
          <w:color w:val="1A476F"/>
        </w:rPr>
        <w:t>Dimension 4: Frustrations &amp; Pain 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Pain Point</w:t>
            </w:r>
          </w:p>
        </w:tc>
        <w:tc>
          <w:tcPr>
            <w:tcW w:type="dxa" w:w="2880"/>
          </w:tcPr>
          <w:p>
            <w:r>
              <w:rPr>
                <w:b/>
                <w:sz w:val="20"/>
              </w:rPr>
              <w:t>Frequency</w:t>
            </w:r>
          </w:p>
        </w:tc>
        <w:tc>
          <w:tcPr>
            <w:tcW w:type="dxa" w:w="2880"/>
          </w:tcPr>
          <w:p>
            <w:r>
              <w:rPr>
                <w:b/>
                <w:sz w:val="20"/>
              </w:rPr>
              <w:t>Defining Quote</w:t>
            </w:r>
          </w:p>
        </w:tc>
      </w:tr>
      <w:tr>
        <w:tc>
          <w:tcPr>
            <w:tcW w:type="dxa" w:w="2880"/>
          </w:tcPr>
          <w:p>
            <w:r>
              <w:rPr>
                <w:sz w:val="20"/>
              </w:rPr>
              <w:t>Power outage blocking chores</w:t>
            </w:r>
          </w:p>
        </w:tc>
        <w:tc>
          <w:tcPr>
            <w:tcW w:type="dxa" w:w="2880"/>
          </w:tcPr>
          <w:p>
            <w:r>
              <w:rPr>
                <w:sz w:val="20"/>
              </w:rPr>
              <w:t>4/7 days</w:t>
            </w:r>
          </w:p>
        </w:tc>
        <w:tc>
          <w:tcPr>
            <w:tcW w:type="dxa" w:w="2880"/>
          </w:tcPr>
          <w:p>
            <w:r>
              <w:rPr>
                <w:sz w:val="20"/>
              </w:rPr>
              <w:t>“Power outage. I need to iron some clothes”</w:t>
            </w:r>
          </w:p>
        </w:tc>
      </w:tr>
      <w:tr>
        <w:tc>
          <w:tcPr>
            <w:tcW w:type="dxa" w:w="2880"/>
          </w:tcPr>
          <w:p>
            <w:r>
              <w:rPr>
                <w:sz w:val="20"/>
              </w:rPr>
              <w:t>Cannot do laundry</w:t>
            </w:r>
          </w:p>
        </w:tc>
        <w:tc>
          <w:tcPr>
            <w:tcW w:type="dxa" w:w="2880"/>
          </w:tcPr>
          <w:p>
            <w:r>
              <w:rPr>
                <w:sz w:val="20"/>
              </w:rPr>
              <w:t>3/7 days</w:t>
            </w:r>
          </w:p>
        </w:tc>
        <w:tc>
          <w:tcPr>
            <w:tcW w:type="dxa" w:w="2880"/>
          </w:tcPr>
          <w:p>
            <w:r>
              <w:rPr>
                <w:sz w:val="20"/>
              </w:rPr>
              <w:t>“I wanted to iron and use the washing machine but couldn’t. The power was interrupted”</w:t>
            </w:r>
          </w:p>
        </w:tc>
      </w:tr>
      <w:tr>
        <w:tc>
          <w:tcPr>
            <w:tcW w:type="dxa" w:w="2880"/>
          </w:tcPr>
          <w:p>
            <w:r>
              <w:rPr>
                <w:sz w:val="20"/>
              </w:rPr>
              <w:t>No light</w:t>
            </w:r>
          </w:p>
        </w:tc>
        <w:tc>
          <w:tcPr>
            <w:tcW w:type="dxa" w:w="2880"/>
          </w:tcPr>
          <w:p>
            <w:r>
              <w:rPr>
                <w:sz w:val="20"/>
              </w:rPr>
              <w:t>2/7 days</w:t>
            </w:r>
          </w:p>
        </w:tc>
        <w:tc>
          <w:tcPr>
            <w:tcW w:type="dxa" w:w="2880"/>
          </w:tcPr>
          <w:p>
            <w:r>
              <w:rPr>
                <w:sz w:val="20"/>
              </w:rPr>
              <w:t>“no light” — prevents ironing, laundry, and electronic chores</w:t>
            </w:r>
          </w:p>
        </w:tc>
      </w:tr>
      <w:tr>
        <w:tc>
          <w:tcPr>
            <w:tcW w:type="dxa" w:w="2880"/>
          </w:tcPr>
          <w:p>
            <w:r>
              <w:rPr>
                <w:sz w:val="20"/>
              </w:rPr>
              <w:t>Bad network disrupting remote work</w:t>
            </w:r>
          </w:p>
        </w:tc>
        <w:tc>
          <w:tcPr>
            <w:tcW w:type="dxa" w:w="2880"/>
          </w:tcPr>
          <w:p>
            <w:r>
              <w:rPr>
                <w:sz w:val="20"/>
              </w:rPr>
              <w:t>1/7 days</w:t>
            </w:r>
          </w:p>
        </w:tc>
        <w:tc>
          <w:tcPr>
            <w:tcW w:type="dxa" w:w="2880"/>
          </w:tcPr>
          <w:p>
            <w:r>
              <w:rPr>
                <w:sz w:val="20"/>
              </w:rPr>
              <w:t>“bad network” caused stress during work</w:t>
            </w:r>
          </w:p>
        </w:tc>
      </w:tr>
      <w:tr>
        <w:tc>
          <w:tcPr>
            <w:tcW w:type="dxa" w:w="2880"/>
          </w:tcPr>
          <w:p>
            <w:r>
              <w:rPr>
                <w:sz w:val="20"/>
              </w:rPr>
              <w:t>Sleep deprivation</w:t>
            </w:r>
          </w:p>
        </w:tc>
        <w:tc>
          <w:tcPr>
            <w:tcW w:type="dxa" w:w="2880"/>
          </w:tcPr>
          <w:p>
            <w:r>
              <w:rPr>
                <w:sz w:val="20"/>
              </w:rPr>
              <w:t>Implied</w:t>
            </w:r>
          </w:p>
        </w:tc>
        <w:tc>
          <w:tcPr>
            <w:tcW w:type="dxa" w:w="2880"/>
          </w:tcPr>
          <w:p>
            <w:r>
              <w:rPr>
                <w:sz w:val="20"/>
              </w:rPr>
              <w:t>Wanted to sleep but couldn’t (Entry 1); rarely has relaxation time</w:t>
            </w:r>
          </w:p>
        </w:tc>
      </w:tr>
    </w:tbl>
    <w:p/>
    <w:p>
      <w:r>
        <w:rPr>
          <w:b/>
          <w:color w:val="CC3300"/>
        </w:rPr>
        <w:t xml:space="preserve">Key Insight: </w:t>
      </w:r>
      <w:r>
        <w:t>Omotoyosi’s primary frustration is not transport or network — it is power. The J01 (Power Outage) code fired 10 times across her diary, more than any other respondent. Power outages don’t just inconvenience her — they prevent her from completing domestic duties (ironing, washing machine, blender), which cascades into her already compressed schedule. She ran the generator specifically to use the blender, revealing how power gaps force expensive workarounds.</w:t>
      </w:r>
    </w:p>
    <w:p>
      <w:pPr>
        <w:pStyle w:val="Heading1"/>
      </w:pPr>
      <w:r>
        <w:rPr>
          <w:color w:val="1A476F"/>
        </w:rPr>
        <w:t>Dimension 5: Phone &amp; Network Relationship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Aspect</w:t>
            </w:r>
          </w:p>
        </w:tc>
        <w:tc>
          <w:tcPr>
            <w:tcW w:type="dxa" w:w="4320"/>
          </w:tcPr>
          <w:p>
            <w:r>
              <w:rPr>
                <w:b/>
                <w:sz w:val="20"/>
              </w:rPr>
              <w:t>Detail</w:t>
            </w:r>
          </w:p>
        </w:tc>
      </w:tr>
      <w:tr>
        <w:tc>
          <w:tcPr>
            <w:tcW w:type="dxa" w:w="4320"/>
          </w:tcPr>
          <w:p>
            <w:r>
              <w:rPr>
                <w:sz w:val="20"/>
              </w:rPr>
              <w:t>Primary network</w:t>
            </w:r>
          </w:p>
        </w:tc>
        <w:tc>
          <w:tcPr>
            <w:tcW w:type="dxa" w:w="4320"/>
          </w:tcPr>
          <w:p>
            <w:r>
              <w:rPr>
                <w:sz w:val="20"/>
              </w:rPr>
              <w:t>MTN — “that’s the number people know me with”</w:t>
            </w:r>
          </w:p>
        </w:tc>
      </w:tr>
      <w:tr>
        <w:tc>
          <w:tcPr>
            <w:tcW w:type="dxa" w:w="4320"/>
          </w:tcPr>
          <w:p>
            <w:r>
              <w:rPr>
                <w:sz w:val="20"/>
              </w:rPr>
              <w:t>Secondary network</w:t>
            </w:r>
          </w:p>
        </w:tc>
        <w:tc>
          <w:tcPr>
            <w:tcW w:type="dxa" w:w="4320"/>
          </w:tcPr>
          <w:p>
            <w:r>
              <w:rPr>
                <w:sz w:val="20"/>
              </w:rPr>
              <w:t>None — single SIM user</w:t>
            </w:r>
          </w:p>
        </w:tc>
      </w:tr>
      <w:tr>
        <w:tc>
          <w:tcPr>
            <w:tcW w:type="dxa" w:w="4320"/>
          </w:tcPr>
          <w:p>
            <w:r>
              <w:rPr>
                <w:sz w:val="20"/>
              </w:rPr>
              <w:t>Multi-SIM</w:t>
            </w:r>
          </w:p>
        </w:tc>
        <w:tc>
          <w:tcPr>
            <w:tcW w:type="dxa" w:w="4320"/>
          </w:tcPr>
          <w:p>
            <w:r>
              <w:rPr>
                <w:sz w:val="20"/>
              </w:rPr>
              <w:t>No</w:t>
            </w:r>
          </w:p>
        </w:tc>
      </w:tr>
      <w:tr>
        <w:tc>
          <w:tcPr>
            <w:tcW w:type="dxa" w:w="4320"/>
          </w:tcPr>
          <w:p>
            <w:r>
              <w:rPr>
                <w:sz w:val="20"/>
              </w:rPr>
              <w:t>Phone on waking</w:t>
            </w:r>
          </w:p>
        </w:tc>
        <w:tc>
          <w:tcPr>
            <w:tcW w:type="dxa" w:w="4320"/>
          </w:tcPr>
          <w:p>
            <w:r>
              <w:rPr>
                <w:sz w:val="20"/>
              </w:rPr>
              <w:t>NO — does not use phone on waking (6/7 days)</w:t>
            </w:r>
          </w:p>
        </w:tc>
      </w:tr>
      <w:tr>
        <w:tc>
          <w:tcPr>
            <w:tcW w:type="dxa" w:w="4320"/>
          </w:tcPr>
          <w:p>
            <w:r>
              <w:rPr>
                <w:sz w:val="20"/>
              </w:rPr>
              <w:t>Phone as work tool</w:t>
            </w:r>
          </w:p>
        </w:tc>
        <w:tc>
          <w:tcPr>
            <w:tcW w:type="dxa" w:w="4320"/>
          </w:tcPr>
          <w:p>
            <w:r>
              <w:rPr>
                <w:sz w:val="20"/>
              </w:rPr>
              <w:t>Primary design tool: graphic design, mock tests, social media management</w:t>
            </w:r>
          </w:p>
        </w:tc>
      </w:tr>
      <w:tr>
        <w:tc>
          <w:tcPr>
            <w:tcW w:type="dxa" w:w="4320"/>
          </w:tcPr>
          <w:p>
            <w:r>
              <w:rPr>
                <w:sz w:val="20"/>
              </w:rPr>
              <w:t>Phone for leisure</w:t>
            </w:r>
          </w:p>
        </w:tc>
        <w:tc>
          <w:tcPr>
            <w:tcW w:type="dxa" w:w="4320"/>
          </w:tcPr>
          <w:p>
            <w:r>
              <w:rPr>
                <w:sz w:val="20"/>
              </w:rPr>
              <w:t>Minimal: movies (1 day), games (1 day), nothing (5 days)</w:t>
            </w:r>
          </w:p>
        </w:tc>
      </w:tr>
      <w:tr>
        <w:tc>
          <w:tcPr>
            <w:tcW w:type="dxa" w:w="4320"/>
          </w:tcPr>
          <w:p>
            <w:r>
              <w:rPr>
                <w:sz w:val="20"/>
              </w:rPr>
              <w:t>Network pain</w:t>
            </w:r>
          </w:p>
        </w:tc>
        <w:tc>
          <w:tcPr>
            <w:tcW w:type="dxa" w:w="4320"/>
          </w:tcPr>
          <w:p>
            <w:r>
              <w:rPr>
                <w:sz w:val="20"/>
              </w:rPr>
              <w:t>Bad network causes stress during remote work (1/7 days)</w:t>
            </w:r>
          </w:p>
        </w:tc>
      </w:tr>
      <w:tr>
        <w:tc>
          <w:tcPr>
            <w:tcW w:type="dxa" w:w="4320"/>
          </w:tcPr>
          <w:p>
            <w:r>
              <w:rPr>
                <w:sz w:val="20"/>
              </w:rPr>
              <w:t>Phone charged on waking</w:t>
            </w:r>
          </w:p>
        </w:tc>
        <w:tc>
          <w:tcPr>
            <w:tcW w:type="dxa" w:w="4320"/>
          </w:tcPr>
          <w:p>
            <w:r>
              <w:rPr>
                <w:sz w:val="20"/>
              </w:rPr>
              <w:t>No (3/7 days) — power outages affect phone charging</w:t>
            </w:r>
          </w:p>
        </w:tc>
      </w:tr>
    </w:tbl>
    <w:p/>
    <w:p>
      <w:r>
        <w:t>Omotoyosi’s phone relationship is fundamentally different from other respondents. She does not check it on waking. She does not use it for entertainment most days. Instead, her phone is a professional production tool — she creates graphic designs, submits work tasks, and manages social media content from it. Her loyalty to MTN is identity-based (“that’s the number people know me with”), not performance-based.</w:t>
      </w:r>
    </w:p>
    <w:p>
      <w:pPr>
        <w:pStyle w:val="Heading1"/>
      </w:pPr>
      <w:r>
        <w:rPr>
          <w:color w:val="1A476F"/>
        </w:rPr>
        <w:t>Dimension 6: Financial Behaviour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Aspect</w:t>
            </w:r>
          </w:p>
        </w:tc>
        <w:tc>
          <w:tcPr>
            <w:tcW w:type="dxa" w:w="4320"/>
          </w:tcPr>
          <w:p>
            <w:r>
              <w:rPr>
                <w:b/>
                <w:sz w:val="20"/>
              </w:rPr>
              <w:t>Detail</w:t>
            </w:r>
          </w:p>
        </w:tc>
      </w:tr>
      <w:tr>
        <w:tc>
          <w:tcPr>
            <w:tcW w:type="dxa" w:w="4320"/>
          </w:tcPr>
          <w:p>
            <w:r>
              <w:rPr>
                <w:sz w:val="20"/>
              </w:rPr>
              <w:t>Spending frequency</w:t>
            </w:r>
          </w:p>
        </w:tc>
        <w:tc>
          <w:tcPr>
            <w:tcW w:type="dxa" w:w="4320"/>
          </w:tcPr>
          <w:p>
            <w:r>
              <w:rPr>
                <w:sz w:val="20"/>
              </w:rPr>
              <w:t>2/7 days — lowest in the entire sample</w:t>
            </w:r>
          </w:p>
        </w:tc>
      </w:tr>
      <w:tr>
        <w:tc>
          <w:tcPr>
            <w:tcW w:type="dxa" w:w="4320"/>
          </w:tcPr>
          <w:p>
            <w:r>
              <w:rPr>
                <w:sz w:val="20"/>
              </w:rPr>
              <w:t>What she spends on</w:t>
            </w:r>
          </w:p>
        </w:tc>
        <w:tc>
          <w:tcPr>
            <w:tcW w:type="dxa" w:w="4320"/>
          </w:tcPr>
          <w:p>
            <w:r>
              <w:rPr>
                <w:sz w:val="20"/>
              </w:rPr>
              <w:t>Transport only (“I needed to board cabs”)</w:t>
            </w:r>
          </w:p>
        </w:tc>
      </w:tr>
      <w:tr>
        <w:tc>
          <w:tcPr>
            <w:tcW w:type="dxa" w:w="4320"/>
          </w:tcPr>
          <w:p>
            <w:r>
              <w:rPr>
                <w:sz w:val="20"/>
              </w:rPr>
              <w:t>Non-spending rationale</w:t>
            </w:r>
          </w:p>
        </w:tc>
        <w:tc>
          <w:tcPr>
            <w:tcW w:type="dxa" w:w="4320"/>
          </w:tcPr>
          <w:p>
            <w:r>
              <w:rPr>
                <w:sz w:val="20"/>
              </w:rPr>
              <w:t>“I have all I need at home” / “I have nothing to buy”</w:t>
            </w:r>
          </w:p>
        </w:tc>
      </w:tr>
      <w:tr>
        <w:tc>
          <w:tcPr>
            <w:tcW w:type="dxa" w:w="4320"/>
          </w:tcPr>
          <w:p>
            <w:r>
              <w:rPr>
                <w:sz w:val="20"/>
              </w:rPr>
              <w:t>Payment pain</w:t>
            </w:r>
          </w:p>
        </w:tc>
        <w:tc>
          <w:tcPr>
            <w:tcW w:type="dxa" w:w="4320"/>
          </w:tcPr>
          <w:p>
            <w:r>
              <w:rPr>
                <w:sz w:val="20"/>
              </w:rPr>
              <w:t>None reported — rarely encounters digital payment friction because she rarely spends</w:t>
            </w:r>
          </w:p>
        </w:tc>
      </w:tr>
      <w:tr>
        <w:tc>
          <w:tcPr>
            <w:tcW w:type="dxa" w:w="4320"/>
          </w:tcPr>
          <w:p>
            <w:r>
              <w:rPr>
                <w:sz w:val="20"/>
              </w:rPr>
              <w:t>Provider role</w:t>
            </w:r>
          </w:p>
        </w:tc>
        <w:tc>
          <w:tcPr>
            <w:tcW w:type="dxa" w:w="4320"/>
          </w:tcPr>
          <w:p>
            <w:r>
              <w:rPr>
                <w:sz w:val="20"/>
              </w:rPr>
              <w:t>Feeds the entire household but does not frame this as “spending”</w:t>
            </w:r>
          </w:p>
        </w:tc>
      </w:tr>
    </w:tbl>
    <w:p/>
    <w:p>
      <w:r>
        <w:rPr>
          <w:b/>
          <w:color w:val="CC3300"/>
        </w:rPr>
        <w:t xml:space="preserve">Key Insight: </w:t>
      </w:r>
      <w:r>
        <w:t>Her near-zero spending is not frugality — it’s invisibility. She provides meals, childcare, and household maintenance daily, but because these involve no cash transactions (she uses groceries already at home), her massive economic contribution is invisible in the financial data. This is a classic unpaid domestic labour pattern.</w:t>
      </w:r>
    </w:p>
    <w:p>
      <w:pPr>
        <w:pStyle w:val="Heading1"/>
      </w:pPr>
      <w:r>
        <w:rPr>
          <w:color w:val="1A476F"/>
        </w:rPr>
        <w:t>Dimension 7: Communication Style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Aspect</w:t>
            </w:r>
          </w:p>
        </w:tc>
        <w:tc>
          <w:tcPr>
            <w:tcW w:type="dxa" w:w="4320"/>
          </w:tcPr>
          <w:p>
            <w:r>
              <w:rPr>
                <w:b/>
                <w:sz w:val="20"/>
              </w:rPr>
              <w:t>Detail</w:t>
            </w:r>
          </w:p>
        </w:tc>
      </w:tr>
      <w:tr>
        <w:tc>
          <w:tcPr>
            <w:tcW w:type="dxa" w:w="4320"/>
          </w:tcPr>
          <w:p>
            <w:r>
              <w:rPr>
                <w:sz w:val="20"/>
              </w:rPr>
              <w:t>Primary method</w:t>
            </w:r>
          </w:p>
        </w:tc>
        <w:tc>
          <w:tcPr>
            <w:tcW w:type="dxa" w:w="4320"/>
          </w:tcPr>
          <w:p>
            <w:r>
              <w:rPr>
                <w:sz w:val="20"/>
              </w:rPr>
              <w:t>WhatsApp + in-person</w:t>
            </w:r>
          </w:p>
        </w:tc>
      </w:tr>
      <w:tr>
        <w:tc>
          <w:tcPr>
            <w:tcW w:type="dxa" w:w="4320"/>
          </w:tcPr>
          <w:p>
            <w:r>
              <w:rPr>
                <w:sz w:val="20"/>
              </w:rPr>
              <w:t>Who she contacts</w:t>
            </w:r>
          </w:p>
        </w:tc>
        <w:tc>
          <w:tcPr>
            <w:tcW w:type="dxa" w:w="4320"/>
          </w:tcPr>
          <w:p>
            <w:r>
              <w:rPr>
                <w:sz w:val="20"/>
              </w:rPr>
              <w:t>Colleagues, family (including international calls)</w:t>
            </w:r>
          </w:p>
        </w:tc>
      </w:tr>
      <w:tr>
        <w:tc>
          <w:tcPr>
            <w:tcW w:type="dxa" w:w="4320"/>
          </w:tcPr>
          <w:p>
            <w:r>
              <w:rPr>
                <w:sz w:val="20"/>
              </w:rPr>
              <w:t>Call duration</w:t>
            </w:r>
          </w:p>
        </w:tc>
        <w:tc>
          <w:tcPr>
            <w:tcW w:type="dxa" w:w="4320"/>
          </w:tcPr>
          <w:p>
            <w:r>
              <w:rPr>
                <w:sz w:val="20"/>
              </w:rPr>
              <w:t>125 minutes (international family call) — a major social event</w:t>
            </w:r>
          </w:p>
        </w:tc>
      </w:tr>
      <w:tr>
        <w:tc>
          <w:tcPr>
            <w:tcW w:type="dxa" w:w="4320"/>
          </w:tcPr>
          <w:p>
            <w:r>
              <w:rPr>
                <w:sz w:val="20"/>
              </w:rPr>
              <w:t>Conversation style</w:t>
            </w:r>
          </w:p>
        </w:tc>
        <w:tc>
          <w:tcPr>
            <w:tcW w:type="dxa" w:w="4320"/>
          </w:tcPr>
          <w:p>
            <w:r>
              <w:rPr>
                <w:sz w:val="20"/>
              </w:rPr>
              <w:t>Mix of planned (work) and spontaneous (“it just came up”)</w:t>
            </w:r>
          </w:p>
        </w:tc>
      </w:tr>
      <w:tr>
        <w:tc>
          <w:tcPr>
            <w:tcW w:type="dxa" w:w="4320"/>
          </w:tcPr>
          <w:p>
            <w:r>
              <w:rPr>
                <w:sz w:val="20"/>
              </w:rPr>
              <w:t>Topics</w:t>
            </w:r>
          </w:p>
        </w:tc>
        <w:tc>
          <w:tcPr>
            <w:tcW w:type="dxa" w:w="4320"/>
          </w:tcPr>
          <w:p>
            <w:r>
              <w:rPr>
                <w:sz w:val="20"/>
              </w:rPr>
              <w:t>Work, business, family matters</w:t>
            </w:r>
          </w:p>
        </w:tc>
      </w:tr>
      <w:tr>
        <w:tc>
          <w:tcPr>
            <w:tcW w:type="dxa" w:w="4320"/>
          </w:tcPr>
          <w:p>
            <w:r>
              <w:rPr>
                <w:sz w:val="20"/>
              </w:rPr>
              <w:t>In-person preference</w:t>
            </w:r>
          </w:p>
        </w:tc>
        <w:tc>
          <w:tcPr>
            <w:tcW w:type="dxa" w:w="4320"/>
          </w:tcPr>
          <w:p>
            <w:r>
              <w:rPr>
                <w:sz w:val="20"/>
              </w:rPr>
              <w:t>“We discussed physically” — chooses face-to-face when possible</w:t>
            </w:r>
          </w:p>
        </w:tc>
      </w:tr>
    </w:tbl>
    <w:p/>
    <w:p>
      <w:r>
        <w:t>Omotoyosi uses WhatsApp as her primary communication channel, choosing it for both work collaboration and international family calls. Her 125-minute family call was spontaneous (“it just came up”) and conducted via WhatsApp because “it was an international call and that was the best means.” This reveals WhatsApp as a cost-saving necessity, not just a convenience.</w:t>
      </w:r>
    </w:p>
    <w:p>
      <w:pPr>
        <w:pStyle w:val="Heading1"/>
      </w:pPr>
      <w:r>
        <w:rPr>
          <w:color w:val="1A476F"/>
        </w:rPr>
        <w:t>Dimension 8: Emotional Profile &amp; Stress Map</w:t>
      </w:r>
    </w:p>
    <w:p>
      <w:pPr>
        <w:pStyle w:val="Heading3"/>
      </w:pPr>
      <w:r>
        <w:rPr>
          <w:color w:val="2E86AB"/>
        </w:rPr>
        <w:t>Daily Emotional Arc</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Time Block</w:t>
            </w:r>
          </w:p>
        </w:tc>
        <w:tc>
          <w:tcPr>
            <w:tcW w:type="dxa" w:w="2880"/>
          </w:tcPr>
          <w:p>
            <w:r>
              <w:rPr>
                <w:b/>
                <w:sz w:val="20"/>
              </w:rPr>
              <w:t>Emotion</w:t>
            </w:r>
          </w:p>
        </w:tc>
        <w:tc>
          <w:tcPr>
            <w:tcW w:type="dxa" w:w="2880"/>
          </w:tcPr>
          <w:p>
            <w:r>
              <w:rPr>
                <w:b/>
                <w:sz w:val="20"/>
              </w:rPr>
              <w:t>Evidence</w:t>
            </w:r>
          </w:p>
        </w:tc>
      </w:tr>
      <w:tr>
        <w:tc>
          <w:tcPr>
            <w:tcW w:type="dxa" w:w="2880"/>
          </w:tcPr>
          <w:p>
            <w:r>
              <w:rPr>
                <w:sz w:val="20"/>
              </w:rPr>
              <w:t>Wake-up</w:t>
            </w:r>
          </w:p>
        </w:tc>
        <w:tc>
          <w:tcPr>
            <w:tcW w:type="dxa" w:w="2880"/>
          </w:tcPr>
          <w:p>
            <w:r>
              <w:rPr>
                <w:sz w:val="20"/>
              </w:rPr>
              <w:t>Mostly positive: Happy (3), Relaxed (3), Sick/Sleepy (1)</w:t>
            </w:r>
          </w:p>
        </w:tc>
        <w:tc>
          <w:tcPr>
            <w:tcW w:type="dxa" w:w="2880"/>
          </w:tcPr>
          <w:p>
            <w:r>
              <w:rPr>
                <w:sz w:val="20"/>
              </w:rPr>
              <w:t>Despite heavy workload, she wakes in good spirits</w:t>
            </w:r>
          </w:p>
        </w:tc>
      </w:tr>
      <w:tr>
        <w:tc>
          <w:tcPr>
            <w:tcW w:type="dxa" w:w="2880"/>
          </w:tcPr>
          <w:p>
            <w:r>
              <w:rPr>
                <w:sz w:val="20"/>
              </w:rPr>
              <w:t>Morning</w:t>
            </w:r>
          </w:p>
        </w:tc>
        <w:tc>
          <w:tcPr>
            <w:tcW w:type="dxa" w:w="2880"/>
          </w:tcPr>
          <w:p>
            <w:r>
              <w:rPr>
                <w:sz w:val="20"/>
              </w:rPr>
              <w:t>Calm and purposeful</w:t>
            </w:r>
          </w:p>
        </w:tc>
        <w:tc>
          <w:tcPr>
            <w:tcW w:type="dxa" w:w="2880"/>
          </w:tcPr>
          <w:p>
            <w:r>
              <w:rPr>
                <w:sz w:val="20"/>
              </w:rPr>
              <w:t>Very few stressors reported in mornings — domestic routine provides structure</w:t>
            </w:r>
          </w:p>
        </w:tc>
      </w:tr>
      <w:tr>
        <w:tc>
          <w:tcPr>
            <w:tcW w:type="dxa" w:w="2880"/>
          </w:tcPr>
          <w:p>
            <w:r>
              <w:rPr>
                <w:sz w:val="20"/>
              </w:rPr>
              <w:t>Mid-day</w:t>
            </w:r>
          </w:p>
        </w:tc>
        <w:tc>
          <w:tcPr>
            <w:tcW w:type="dxa" w:w="2880"/>
          </w:tcPr>
          <w:p>
            <w:r>
              <w:rPr>
                <w:sz w:val="20"/>
              </w:rPr>
              <w:t>Pressured</w:t>
            </w:r>
          </w:p>
        </w:tc>
        <w:tc>
          <w:tcPr>
            <w:tcW w:type="dxa" w:w="2880"/>
          </w:tcPr>
          <w:p>
            <w:r>
              <w:rPr>
                <w:sz w:val="20"/>
              </w:rPr>
              <w:t>Remote work deadlines + domestic duties collide; bad network adds friction</w:t>
            </w:r>
          </w:p>
        </w:tc>
      </w:tr>
      <w:tr>
        <w:tc>
          <w:tcPr>
            <w:tcW w:type="dxa" w:w="2880"/>
          </w:tcPr>
          <w:p>
            <w:r>
              <w:rPr>
                <w:sz w:val="20"/>
              </w:rPr>
              <w:t>Afternoon</w:t>
            </w:r>
          </w:p>
        </w:tc>
        <w:tc>
          <w:tcPr>
            <w:tcW w:type="dxa" w:w="2880"/>
          </w:tcPr>
          <w:p>
            <w:r>
              <w:rPr>
                <w:sz w:val="20"/>
              </w:rPr>
              <w:t>Exhausted</w:t>
            </w:r>
          </w:p>
        </w:tc>
        <w:tc>
          <w:tcPr>
            <w:tcW w:type="dxa" w:w="2880"/>
          </w:tcPr>
          <w:p>
            <w:r>
              <w:rPr>
                <w:sz w:val="20"/>
              </w:rPr>
              <w:t>“I rested well enough this afternoon” — rare and noteworthy when it happens</w:t>
            </w:r>
          </w:p>
        </w:tc>
      </w:tr>
      <w:tr>
        <w:tc>
          <w:tcPr>
            <w:tcW w:type="dxa" w:w="2880"/>
          </w:tcPr>
          <w:p>
            <w:r>
              <w:rPr>
                <w:sz w:val="20"/>
              </w:rPr>
              <w:t>Evening</w:t>
            </w:r>
          </w:p>
        </w:tc>
        <w:tc>
          <w:tcPr>
            <w:tcW w:type="dxa" w:w="2880"/>
          </w:tcPr>
          <w:p>
            <w:r>
              <w:rPr>
                <w:sz w:val="20"/>
              </w:rPr>
              <w:t>Depleted</w:t>
            </w:r>
          </w:p>
        </w:tc>
        <w:tc>
          <w:tcPr>
            <w:tcW w:type="dxa" w:w="2880"/>
          </w:tcPr>
          <w:p>
            <w:r>
              <w:rPr>
                <w:sz w:val="20"/>
              </w:rPr>
              <w:t>Makes dinner, then sleeps. No phone entertainment. Relaxation is “occasionally” to “rarely”</w:t>
            </w:r>
          </w:p>
        </w:tc>
      </w:tr>
    </w:tbl>
    <w:p/>
    <w:p>
      <w:pPr>
        <w:pStyle w:val="Heading3"/>
      </w:pPr>
      <w:r>
        <w:rPr>
          <w:color w:val="2E86AB"/>
        </w:rPr>
        <w:t>Stress Triggers (Ranked)</w:t>
      </w:r>
    </w:p>
    <w:p>
      <w:r>
        <w:t>1. Power outages blocking domestic tasks (ironing, washing, blending)</w:t>
      </w:r>
    </w:p>
    <w:p>
      <w:r>
        <w:t>2. Sleep deprivation / exhaustion</w:t>
      </w:r>
    </w:p>
    <w:p>
      <w:r>
        <w:t>3. Bad network disrupting remote work</w:t>
      </w:r>
    </w:p>
    <w:p>
      <w:r>
        <w:t>4. Children’s messy rooms requiring hours of cleaning</w:t>
      </w:r>
    </w:p>
    <w:p>
      <w:pPr>
        <w:pStyle w:val="Heading3"/>
      </w:pPr>
      <w:r>
        <w:rPr>
          <w:color w:val="2E86AB"/>
        </w:rPr>
        <w:t>Resilience Pattern</w:t>
      </w:r>
    </w:p>
    <w:p>
      <w:r>
        <w:t>Omotoyosi does not complain. Her diary is remarkably free of negative language compared to other respondents. She answers “Nothing” to stress questions far more often than anyone else — not because she has no stress, but because her stressors are so constant (cooking, cleaning, childcare, power outages) that they have become normalised. She runs the generator to use the blender. She cooks different meals for different family members. She cleans for 4 hours straight. She never frames any of this as a burden — it’s simply what she does.</w:t>
      </w:r>
    </w:p>
    <w:p>
      <w:pPr>
        <w:pStyle w:val="Heading1"/>
      </w:pPr>
      <w:r>
        <w:rPr>
          <w:color w:val="1A476F"/>
        </w:rPr>
        <w:t>Dimension 9: Opportunities for the Brand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Opportunity</w:t>
            </w:r>
          </w:p>
        </w:tc>
        <w:tc>
          <w:tcPr>
            <w:tcW w:type="dxa" w:w="4320"/>
          </w:tcPr>
          <w:p>
            <w:r>
              <w:rPr>
                <w:b/>
                <w:sz w:val="20"/>
              </w:rPr>
              <w:t>Actionable Insight</w:t>
            </w:r>
          </w:p>
        </w:tc>
      </w:tr>
      <w:tr>
        <w:tc>
          <w:tcPr>
            <w:tcW w:type="dxa" w:w="4320"/>
          </w:tcPr>
          <w:p>
            <w:r>
              <w:rPr>
                <w:sz w:val="20"/>
              </w:rPr>
              <w:t>Power-aware services</w:t>
            </w:r>
          </w:p>
        </w:tc>
        <w:tc>
          <w:tcPr>
            <w:tcW w:type="dxa" w:w="4320"/>
          </w:tcPr>
          <w:p>
            <w:r>
              <w:rPr>
                <w:sz w:val="20"/>
              </w:rPr>
              <w:t>She is the most power-affected respondent (J01: 10). A telecom product that acknowledges power unreliability — e.g., ultra-low-battery mode, offline work sync — would speak directly to her reality</w:t>
            </w:r>
          </w:p>
        </w:tc>
      </w:tr>
      <w:tr>
        <w:tc>
          <w:tcPr>
            <w:tcW w:type="dxa" w:w="4320"/>
          </w:tcPr>
          <w:p>
            <w:r>
              <w:rPr>
                <w:sz w:val="20"/>
              </w:rPr>
              <w:t>Affordable data for remote work</w:t>
            </w:r>
          </w:p>
        </w:tc>
        <w:tc>
          <w:tcPr>
            <w:tcW w:type="dxa" w:w="4320"/>
          </w:tcPr>
          <w:p>
            <w:r>
              <w:rPr>
                <w:sz w:val="20"/>
              </w:rPr>
              <w:t>She depends on mobile data for her entire professional output. Stable, affordable work-hours data plans on MTN would reduce her #1 work stressor</w:t>
            </w:r>
          </w:p>
        </w:tc>
      </w:tr>
      <w:tr>
        <w:tc>
          <w:tcPr>
            <w:tcW w:type="dxa" w:w="4320"/>
          </w:tcPr>
          <w:p>
            <w:r>
              <w:rPr>
                <w:sz w:val="20"/>
              </w:rPr>
              <w:t>Phone-based design tools</w:t>
            </w:r>
          </w:p>
        </w:tc>
        <w:tc>
          <w:tcPr>
            <w:tcW w:type="dxa" w:w="4320"/>
          </w:tcPr>
          <w:p>
            <w:r>
              <w:rPr>
                <w:sz w:val="20"/>
              </w:rPr>
              <w:t>She creates professional graphic designs entirely on her phone. Partnerships with mobile design apps (Canva, CapCut) could position the brand as an enabler of mobile-first professionals</w:t>
            </w:r>
          </w:p>
        </w:tc>
      </w:tr>
      <w:tr>
        <w:tc>
          <w:tcPr>
            <w:tcW w:type="dxa" w:w="4320"/>
          </w:tcPr>
          <w:p>
            <w:r>
              <w:rPr>
                <w:sz w:val="20"/>
              </w:rPr>
              <w:t>International call bundles</w:t>
            </w:r>
          </w:p>
        </w:tc>
        <w:tc>
          <w:tcPr>
            <w:tcW w:type="dxa" w:w="4320"/>
          </w:tcPr>
          <w:p>
            <w:r>
              <w:rPr>
                <w:sz w:val="20"/>
              </w:rPr>
              <w:t>Her 125-min WhatsApp international call reveals a latent need. Affordable international call bundles would earn loyalty from diaspora-connected families</w:t>
            </w:r>
          </w:p>
        </w:tc>
      </w:tr>
      <w:tr>
        <w:tc>
          <w:tcPr>
            <w:tcW w:type="dxa" w:w="4320"/>
          </w:tcPr>
          <w:p>
            <w:r>
              <w:rPr>
                <w:sz w:val="20"/>
              </w:rPr>
              <w:t>Recognition of unpaid labour</w:t>
            </w:r>
          </w:p>
        </w:tc>
        <w:tc>
          <w:tcPr>
            <w:tcW w:type="dxa" w:w="4320"/>
          </w:tcPr>
          <w:p>
            <w:r>
              <w:rPr>
                <w:sz w:val="20"/>
              </w:rPr>
              <w:t>Marketing that acknowledges and celebrates the invisible domestic provider — the woman who feeds everyone before she feeds herself — would create deep emotional brand affinity</w:t>
            </w:r>
          </w:p>
        </w:tc>
      </w:tr>
    </w:tbl>
    <w:p/>
    <w:p/>
    <w:p>
      <w:pPr>
        <w:pStyle w:val="Heading2"/>
      </w:pPr>
      <w:r>
        <w:rPr>
          <w:color w:val="1A476F"/>
        </w:rPr>
        <w:t>Defining Quote</w:t>
      </w:r>
    </w:p>
    <w:p>
      <w:pPr>
        <w:spacing w:before="120" w:after="120"/>
        <w:ind w:left="850"/>
      </w:pPr>
      <w:r>
        <w:rPr>
          <w:i/>
          <w:color w:val="555555"/>
          <w:sz w:val="22"/>
        </w:rPr>
        <w:t>“I wanted to iron and use the washing machine but couldn’t. The power was interrupted early this morning”</w:t>
      </w:r>
    </w:p>
    <w:p>
      <w:pPr>
        <w:ind w:left="850"/>
      </w:pPr>
      <w:r>
        <w:rPr>
          <w:i/>
          <w:color w:val="666666"/>
          <w:sz w:val="20"/>
        </w:rPr>
        <w:t>— A sentence that reveals the daily reality of millions of Nigerian women: domestic labour is already exhausting, and infrastructure failure makes it harder. Omotoyosi doesn’t ask for less work — she asks for the power to stay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