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0" w:after="0"/>
        <w:ind w:left="360" w:hanging="0"/>
        <w:jc w:val="center"/>
        <w:rPr>
          <w:i w:val="false"/>
          <w:i w:val="false"/>
          <w:sz w:val="20"/>
          <w:szCs w:val="20"/>
          <w:u w:val="single"/>
        </w:rPr>
      </w:pPr>
      <w:r>
        <w:rPr>
          <w:i w:val="false"/>
          <w:sz w:val="20"/>
          <w:szCs w:val="20"/>
          <w:u w:val="single"/>
        </w:rPr>
        <w:t>BANKWIDE CREDIT REVIEW AS AT 11/03/11</w:t>
      </w:r>
    </w:p>
    <w:p>
      <w:pPr>
        <w:pStyle w:val="Normal"/>
        <w:ind w:left="2160" w:firstLine="720"/>
        <w:rPr>
          <w:rFonts w:cs="Arial"/>
          <w:b/>
          <w:b/>
          <w:u w:val="single"/>
        </w:rPr>
      </w:pPr>
      <w:r>
        <w:rPr>
          <w:rFonts w:cs="Arial"/>
          <w:b/>
          <w:u w:val="single"/>
        </w:rPr>
        <w:t xml:space="preserve">BUSINESS UNIT:  </w:t>
      </w:r>
    </w:p>
    <w:tbl>
      <w:tblPr>
        <w:tblW w:w="11440" w:type="dxa"/>
        <w:jc w:val="left"/>
        <w:tblInd w:w="-1085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1003"/>
        <w:gridCol w:w="900"/>
        <w:gridCol w:w="90"/>
        <w:gridCol w:w="213"/>
        <w:gridCol w:w="417"/>
        <w:gridCol w:w="90"/>
        <w:gridCol w:w="180"/>
        <w:gridCol w:w="251"/>
        <w:gridCol w:w="2600"/>
        <w:gridCol w:w="29"/>
        <w:gridCol w:w="540"/>
        <w:gridCol w:w="90"/>
        <w:gridCol w:w="360"/>
        <w:gridCol w:w="450"/>
        <w:gridCol w:w="1831"/>
        <w:gridCol w:w="1779"/>
      </w:tblGrid>
      <w:tr>
        <w:trPr>
          <w:trHeight w:val="228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S/N</w:t>
            </w:r>
          </w:p>
        </w:tc>
        <w:tc>
          <w:tcPr>
            <w:tcW w:w="640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OBLIGOR DETAILS</w:t>
            </w:r>
          </w:p>
        </w:tc>
        <w:tc>
          <w:tcPr>
            <w:tcW w:w="44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COMPLIANCE/EXCEPTION REMARKS</w:t>
            </w:r>
          </w:p>
        </w:tc>
      </w:tr>
      <w:tr>
        <w:trPr>
          <w:trHeight w:val="460" w:hRule="atLeast"/>
        </w:trPr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CUSTOMER NAME/CUSTOMER ID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  <w:t>LPC PRINTING LIMITED</w:t>
            </w:r>
          </w:p>
        </w:tc>
        <w:tc>
          <w:tcPr>
            <w:tcW w:w="44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460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RELATIONSHIP OFFICER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jc w:val="both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  <w:t>UJU OBI-OKOYE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</w:r>
          </w:p>
        </w:tc>
      </w:tr>
      <w:tr>
        <w:trPr>
          <w:trHeight w:val="460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BUSINESS /OBLIGOR ANALYSIS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jc w:val="both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  <w:t>Printing of packaging Materials. Account was opened on 17/10/2005.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color w:val="0000FF"/>
                <w:sz w:val="18"/>
                <w:szCs w:val="18"/>
              </w:rPr>
            </w:pPr>
            <w:r>
              <w:rPr>
                <w:rFonts w:cs="Arial"/>
                <w:b/>
                <w:color w:val="0000FF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A/C NO (S)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0102010019522 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0102800000315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sz w:val="18"/>
                <w:szCs w:val="18"/>
              </w:rPr>
              <w:t>ACCOUNT BALANCE @ REVIEW DATE (</w:t>
            </w:r>
            <w:r>
              <w:rPr>
                <w:rFonts w:cs="Arial"/>
                <w:b/>
                <w:dstrike/>
                <w:sz w:val="18"/>
                <w:szCs w:val="18"/>
              </w:rPr>
              <w:t>N</w:t>
            </w:r>
            <w:r>
              <w:rPr>
                <w:rFonts w:cs="Arial"/>
                <w:b/>
                <w:sz w:val="18"/>
                <w:szCs w:val="18"/>
              </w:rPr>
              <w:t>)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10,395,425DR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FACILITY DETAILS</w:t>
            </w:r>
          </w:p>
        </w:tc>
        <w:tc>
          <w:tcPr>
            <w:tcW w:w="44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tbl>
            <w:tblPr>
              <w:tblW w:w="4022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7"/>
              <w:gridCol w:w="992"/>
              <w:gridCol w:w="1573"/>
            </w:tblGrid>
            <w:tr>
              <w:trPr/>
              <w:tc>
                <w:tcPr>
                  <w:tcW w:w="14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Facility  Type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Limit</w:t>
                  </w:r>
                </w:p>
              </w:tc>
              <w:tc>
                <w:tcPr>
                  <w:tcW w:w="1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O/s Bal (=N=)</w:t>
                  </w:r>
                </w:p>
              </w:tc>
            </w:tr>
            <w:tr>
              <w:trPr/>
              <w:tc>
                <w:tcPr>
                  <w:tcW w:w="14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OD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40m</w:t>
                  </w:r>
                </w:p>
              </w:tc>
              <w:tc>
                <w:tcPr>
                  <w:tcW w:w="1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W w:w="14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Term loan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20m</w:t>
                  </w:r>
                </w:p>
              </w:tc>
              <w:tc>
                <w:tcPr>
                  <w:tcW w:w="1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W w:w="14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  <w:tc>
                <w:tcPr>
                  <w:tcW w:w="1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W w:w="14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  <w:tc>
                <w:tcPr>
                  <w:tcW w:w="1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444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VALUE DATE – MATURITY DATE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18/02/2011 -15/12/2011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547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TENOR/TRANSACTION CYCLE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 months</w:t>
            </w:r>
          </w:p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11 months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682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PURPOSE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To augment working capital requirements  of the company and to act as bridge for the bulk purchase of raw materials.</w:t>
            </w:r>
          </w:p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To finance the bulk purchase of printing consumables. E.g. ink, glue, board paper e.t.c.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278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APPROVING DLA</w:t>
            </w:r>
          </w:p>
        </w:tc>
        <w:tc>
          <w:tcPr>
            <w:tcW w:w="419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CAG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2.</w:t>
            </w:r>
          </w:p>
        </w:tc>
        <w:tc>
          <w:tcPr>
            <w:tcW w:w="640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cs="Arial"/>
                <w:b/>
                <w:b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PERFORMANCE  REVIEW</w:t>
            </w:r>
          </w:p>
        </w:tc>
        <w:tc>
          <w:tcPr>
            <w:tcW w:w="44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AGREED MIN T/O </w:t>
            </w:r>
          </w:p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3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44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444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TRANSACTION /CLEAN-UP CYCLE</w:t>
            </w:r>
          </w:p>
        </w:tc>
        <w:tc>
          <w:tcPr>
            <w:tcW w:w="3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90 days clean-up cycle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REPAYMENT SCHEDULE/</w:t>
            </w:r>
          </w:p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AMOUNT</w:t>
            </w:r>
          </w:p>
        </w:tc>
        <w:tc>
          <w:tcPr>
            <w:tcW w:w="3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Cash flow from normal business operations.</w:t>
            </w:r>
          </w:p>
        </w:tc>
        <w:tc>
          <w:tcPr>
            <w:tcW w:w="4420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2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IDENTIFIED EXISTING /POTENTIAL THREAT TO COY BUSINESS (IF ANY)</w:t>
            </w:r>
          </w:p>
        </w:tc>
        <w:tc>
          <w:tcPr>
            <w:tcW w:w="3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snapToGrid w:val="false"/>
              <w:jc w:val="both"/>
              <w:rPr>
                <w:rFonts w:cs="Arial"/>
                <w:b/>
                <w:b/>
                <w:sz w:val="18"/>
                <w:szCs w:val="18"/>
                <w:highlight w:val="yellow"/>
              </w:rPr>
            </w:pPr>
            <w:r>
              <w:rPr>
                <w:rFonts w:cs="Arial"/>
                <w:b/>
                <w:sz w:val="18"/>
                <w:szCs w:val="18"/>
                <w:highlight w:val="yellow"/>
              </w:rPr>
            </w:r>
          </w:p>
        </w:tc>
        <w:tc>
          <w:tcPr>
            <w:tcW w:w="44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Cashflow concentration – Sumal. Most of its business is in Ibadan. Machines located in Ibadan.</w:t>
            </w:r>
          </w:p>
        </w:tc>
      </w:tr>
      <w:tr>
        <w:trPr/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3.</w:t>
            </w:r>
          </w:p>
        </w:tc>
        <w:tc>
          <w:tcPr>
            <w:tcW w:w="7213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PRICING REVIEW</w:t>
            </w:r>
          </w:p>
        </w:tc>
        <w:tc>
          <w:tcPr>
            <w:tcW w:w="3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sz w:val="18"/>
                <w:szCs w:val="18"/>
                <w:u w:val="single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COT: </w:t>
            </w:r>
          </w:p>
        </w:tc>
        <w:tc>
          <w:tcPr>
            <w:tcW w:w="62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N2/mille</w:t>
            </w:r>
          </w:p>
        </w:tc>
        <w:tc>
          <w:tcPr>
            <w:tcW w:w="36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Facility is running at 19%.</w:t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1% Management fee was communicated in the executed offer letter.</w:t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INT RATE: </w:t>
            </w:r>
          </w:p>
        </w:tc>
        <w:tc>
          <w:tcPr>
            <w:tcW w:w="62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19%</w:t>
            </w:r>
          </w:p>
        </w:tc>
        <w:tc>
          <w:tcPr>
            <w:tcW w:w="361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FEE (S)</w:t>
            </w:r>
          </w:p>
        </w:tc>
        <w:tc>
          <w:tcPr>
            <w:tcW w:w="621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tbl>
            <w:tblPr>
              <w:tblW w:w="5801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7"/>
              <w:gridCol w:w="1540"/>
              <w:gridCol w:w="1553"/>
              <w:gridCol w:w="1301"/>
            </w:tblGrid>
            <w:tr>
              <w:trPr/>
              <w:tc>
                <w:tcPr>
                  <w:tcW w:w="1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sz w:val="16"/>
                      <w:szCs w:val="16"/>
                    </w:rPr>
                    <w:t>Facility Type</w:t>
                  </w:r>
                </w:p>
              </w:tc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sz w:val="16"/>
                      <w:szCs w:val="16"/>
                    </w:rPr>
                    <w:t>Approved fees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sz w:val="16"/>
                      <w:szCs w:val="16"/>
                    </w:rPr>
                    <w:t>Fee charged</w:t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b/>
                      <w:b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sz w:val="16"/>
                      <w:szCs w:val="16"/>
                    </w:rPr>
                    <w:t>Date charged</w:t>
                  </w:r>
                </w:p>
              </w:tc>
            </w:tr>
            <w:tr>
              <w:trPr/>
              <w:tc>
                <w:tcPr>
                  <w:tcW w:w="1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OD – 20m</w:t>
                  </w:r>
                </w:p>
              </w:tc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1% mgt fee,0.25% proc fee, 0.75% commitment fee and N30,000 legal fee.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0.75% mgt fee,0.25% proc fee, 1% comm. fee and N30,000 legal fee.</w:t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21/02/2011</w:t>
                  </w:r>
                </w:p>
              </w:tc>
            </w:tr>
            <w:tr>
              <w:trPr/>
              <w:tc>
                <w:tcPr>
                  <w:tcW w:w="1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OD – 20m</w:t>
                  </w:r>
                </w:p>
              </w:tc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1% renewal fee, 0.25% proc fee, 0.75% mgt fee and N30,000 legal fee.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snapToGrid w:val="fals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Term Loan – N20m</w:t>
                  </w:r>
                </w:p>
              </w:tc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1% Mgt fee, 0.5% proc fee, 0.5% utilization fee and N30,000 Legal fee.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1% Mgt fee, 0.5% proc fee, 0.5% utilization fee and N30,000 Legal fee.</w:t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keepLines/>
                    <w:suppressAutoHyphens w:val="true"/>
                    <w:jc w:val="both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09/04/10</w:t>
                  </w:r>
                </w:p>
              </w:tc>
            </w:tr>
          </w:tbl>
          <w:p>
            <w:pPr>
              <w:pStyle w:val="Normal"/>
              <w:keepLines/>
              <w:suppressAutoHyphens w:val="tru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1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4.</w:t>
            </w:r>
          </w:p>
        </w:tc>
        <w:tc>
          <w:tcPr>
            <w:tcW w:w="7213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DOCUMENTATION REVIEW</w:t>
            </w:r>
          </w:p>
        </w:tc>
        <w:tc>
          <w:tcPr>
            <w:tcW w:w="3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EXCEPTIONS</w:t>
            </w:r>
          </w:p>
        </w:tc>
      </w:tr>
      <w:tr>
        <w:trPr>
          <w:trHeight w:val="1272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27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COMPLETENESS  &amp; ORDERLINESS OF CREDIT FILES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file was well arranged.</w:t>
            </w:r>
          </w:p>
        </w:tc>
        <w:tc>
          <w:tcPr>
            <w:tcW w:w="4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uppressAutoHyphens w:val="tru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Executed documents in place.</w:t>
            </w:r>
          </w:p>
          <w:p>
            <w:pPr>
              <w:pStyle w:val="Normal"/>
              <w:keepLines/>
              <w:tabs>
                <w:tab w:val="clear" w:pos="720"/>
                <w:tab w:val="left" w:pos="1230" w:leader="none"/>
              </w:tabs>
              <w:suppressAutoHyphens w:val="true"/>
              <w:jc w:val="both"/>
              <w:rPr>
                <w:rFonts w:cs="Arial"/>
                <w:b/>
                <w:b/>
                <w:color w:val="FF0000"/>
                <w:sz w:val="18"/>
                <w:szCs w:val="18"/>
              </w:rPr>
            </w:pPr>
            <w:r>
              <w:rPr>
                <w:rFonts w:cs="Arial"/>
                <w:b/>
                <w:color w:val="FF0000"/>
                <w:sz w:val="18"/>
                <w:szCs w:val="18"/>
              </w:rPr>
              <w:tab/>
            </w:r>
          </w:p>
          <w:p>
            <w:pPr>
              <w:pStyle w:val="Normal"/>
              <w:jc w:val="both"/>
              <w:rPr>
                <w:rFonts w:cs="Arial"/>
                <w:b/>
                <w:b/>
                <w:color w:val="FF0000"/>
                <w:sz w:val="18"/>
                <w:szCs w:val="18"/>
              </w:rPr>
            </w:pPr>
            <w:r>
              <w:rPr>
                <w:rFonts w:cs="Arial"/>
                <w:b/>
                <w:color w:val="FF0000"/>
                <w:sz w:val="18"/>
                <w:szCs w:val="18"/>
              </w:rPr>
            </w:r>
          </w:p>
        </w:tc>
      </w:tr>
      <w:tr>
        <w:trPr>
          <w:trHeight w:val="485" w:hRule="atLeast"/>
        </w:trPr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27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EVIDENCE OF MONITORING FACILITY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color w:val="FF0000"/>
                <w:sz w:val="18"/>
                <w:szCs w:val="18"/>
              </w:rPr>
            </w:pPr>
            <w:r>
              <w:rPr>
                <w:rFonts w:cs="Arial"/>
                <w:color w:val="FF0000"/>
                <w:sz w:val="18"/>
                <w:szCs w:val="18"/>
              </w:rPr>
              <w:t>Latest call memo was dated 10/02/2011</w:t>
            </w:r>
          </w:p>
        </w:tc>
        <w:tc>
          <w:tcPr>
            <w:tcW w:w="4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color w:val="FF0000"/>
                <w:sz w:val="18"/>
                <w:szCs w:val="18"/>
              </w:rPr>
            </w:pPr>
            <w:r>
              <w:rPr>
                <w:rFonts w:cs="Arial"/>
                <w:b/>
                <w:color w:val="FF0000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5.</w:t>
            </w:r>
          </w:p>
        </w:tc>
        <w:tc>
          <w:tcPr>
            <w:tcW w:w="631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cs="Arial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COLLATERAL REVIEW</w:t>
            </w:r>
          </w:p>
        </w:tc>
        <w:tc>
          <w:tcPr>
            <w:tcW w:w="45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EXCEPTIONS</w:t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APPROVED COLLATERAL</w:t>
            </w:r>
          </w:p>
        </w:tc>
        <w:tc>
          <w:tcPr>
            <w:tcW w:w="48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Debenture charge on the company’s fixed and floating assets valued at N90.5m OMV and N63.35m FSV stamped to cover N20m. To be upstamped to N40m.</w:t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Supported by personal guarantee of the company’s chairman Hadji Ali Moussa and statement of financial networth valued in excess of N15m.</w:t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40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The upstamping is yet to be concluded. </w:t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FSV (DATE)</w:t>
            </w:r>
          </w:p>
        </w:tc>
        <w:tc>
          <w:tcPr>
            <w:tcW w:w="48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tbl>
            <w:tblPr>
              <w:tblW w:w="5476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7"/>
              <w:gridCol w:w="1543"/>
              <w:gridCol w:w="1543"/>
              <w:gridCol w:w="1553"/>
            </w:tblGrid>
            <w:tr>
              <w:trPr/>
              <w:tc>
                <w:tcPr>
                  <w:tcW w:w="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Valuer</w:t>
                  </w:r>
                </w:p>
              </w:tc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FSV</w:t>
                  </w:r>
                </w:p>
              </w:tc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OMV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b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>
              <w:trPr/>
              <w:tc>
                <w:tcPr>
                  <w:tcW w:w="8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Tope &amp; Tunde</w:t>
                  </w:r>
                </w:p>
              </w:tc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90,500,000</w:t>
                  </w:r>
                </w:p>
              </w:tc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63,350,000</w:t>
                  </w:r>
                </w:p>
              </w:tc>
              <w:tc>
                <w:tcPr>
                  <w:tcW w:w="1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auto" w:val="clear"/>
                </w:tcPr>
                <w:p>
                  <w:pPr>
                    <w:pStyle w:val="Normal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30/03/10</w:t>
                  </w:r>
                </w:p>
              </w:tc>
            </w:tr>
          </w:tbl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40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DOCUMENTATION/PERFECTION STATUS</w:t>
            </w:r>
          </w:p>
        </w:tc>
        <w:tc>
          <w:tcPr>
            <w:tcW w:w="48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40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INSURANCE COY/EXPIRY DATE OF POLICY</w:t>
            </w:r>
          </w:p>
        </w:tc>
        <w:tc>
          <w:tcPr>
            <w:tcW w:w="48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ADIC – 12/04/2011 –  the sum insured is N63.35m.</w:t>
            </w:r>
          </w:p>
        </w:tc>
        <w:tc>
          <w:tcPr>
            <w:tcW w:w="4060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OTHERS</w:t>
            </w:r>
          </w:p>
        </w:tc>
        <w:tc>
          <w:tcPr>
            <w:tcW w:w="48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4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667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6.</w:t>
            </w:r>
          </w:p>
        </w:tc>
        <w:tc>
          <w:tcPr>
            <w:tcW w:w="26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CONVENANT COMPLIANCE/ TRANSACTION DYNAMICS REVIEW</w:t>
            </w:r>
          </w:p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41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color w:val="FF0000"/>
                <w:sz w:val="18"/>
                <w:szCs w:val="18"/>
              </w:rPr>
            </w:pPr>
            <w:r>
              <w:rPr>
                <w:rFonts w:cs="Arial"/>
                <w:color w:val="FF0000"/>
                <w:sz w:val="18"/>
                <w:szCs w:val="18"/>
              </w:rPr>
              <w:t>Company issues cheques for the purchase of raw materials from time to time as may be required within the approved limit.</w:t>
            </w:r>
          </w:p>
        </w:tc>
        <w:tc>
          <w:tcPr>
            <w:tcW w:w="4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color w:val="FF0000"/>
                <w:sz w:val="18"/>
                <w:szCs w:val="18"/>
              </w:rPr>
            </w:pPr>
            <w:r>
              <w:rPr>
                <w:rFonts w:cs="Arial"/>
                <w:color w:val="FF0000"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7.</w:t>
            </w:r>
          </w:p>
        </w:tc>
        <w:tc>
          <w:tcPr>
            <w:tcW w:w="314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PRE-APPROVAL CREDIT RISK RATING:</w:t>
            </w:r>
          </w:p>
          <w:p>
            <w:pPr>
              <w:pStyle w:val="Normal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PRESENT/RECOMMENDED RISK RATING:</w:t>
            </w:r>
          </w:p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50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314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PRESENT TREND ( POSITIVE;;  STEADY,; ADVERSE  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242" w:hRule="atLeast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jc w:val="both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8.</w:t>
            </w:r>
          </w:p>
        </w:tc>
        <w:tc>
          <w:tcPr>
            <w:tcW w:w="5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rPr>
                <w:rFonts w:cs="Arial"/>
                <w:b/>
                <w:b/>
                <w:sz w:val="18"/>
                <w:szCs w:val="18"/>
                <w:highlight w:val="lightGray"/>
              </w:rPr>
            </w:pPr>
            <w:r>
              <w:rPr>
                <w:rFonts w:cs="Arial"/>
                <w:b/>
                <w:sz w:val="18"/>
                <w:szCs w:val="18"/>
                <w:highlight w:val="lightGray"/>
              </w:rPr>
              <w:t>RECOMMENDATION /ACTION  PLAN</w:t>
            </w:r>
          </w:p>
          <w:p>
            <w:pPr>
              <w:pStyle w:val="Normal"/>
              <w:keepLines/>
              <w:suppressAutoHyphens w:val="true"/>
              <w:jc w:val="both"/>
              <w:rPr>
                <w:rFonts w:cs="Arial"/>
                <w:b/>
                <w:b/>
                <w:sz w:val="18"/>
                <w:szCs w:val="18"/>
                <w:highlight w:val="lightGray"/>
              </w:rPr>
            </w:pPr>
            <w:r>
              <w:rPr>
                <w:rFonts w:cs="Arial"/>
                <w:b/>
                <w:sz w:val="18"/>
                <w:szCs w:val="18"/>
                <w:highlight w:val="lightGray"/>
              </w:rPr>
            </w:r>
          </w:p>
        </w:tc>
        <w:tc>
          <w:tcPr>
            <w:tcW w:w="50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rFonts w:cs="Arial"/>
                <w:b/>
                <w:b/>
                <w:sz w:val="18"/>
                <w:szCs w:val="18"/>
                <w:highlight w:val="lightGray"/>
              </w:rPr>
            </w:pPr>
            <w:r>
              <w:rPr>
                <w:rFonts w:cs="Arial"/>
                <w:b/>
                <w:sz w:val="18"/>
                <w:szCs w:val="18"/>
                <w:highlight w:val="lightGray"/>
              </w:rPr>
              <w:t>BRANCH COMMENT:</w:t>
            </w:r>
          </w:p>
        </w:tc>
      </w:tr>
      <w:tr>
        <w:trPr/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3060" w:leader="none"/>
                <w:tab w:val="left" w:pos="-2880" w:leader="none"/>
              </w:tabs>
              <w:snapToGrid w:val="false"/>
              <w:jc w:val="both"/>
              <w:rPr>
                <w:rFonts w:cs="Arial"/>
                <w:b/>
                <w:b/>
                <w:color w:val="000000"/>
                <w:sz w:val="18"/>
                <w:szCs w:val="18"/>
                <w:highlight w:val="lightGray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highlight w:val="lightGray"/>
              </w:rPr>
            </w:r>
          </w:p>
        </w:tc>
        <w:tc>
          <w:tcPr>
            <w:tcW w:w="5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cs="Arial"/>
                <w:b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50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sectPr>
      <w:type w:val="nextPage"/>
      <w:pgSz w:w="12240" w:h="15840"/>
      <w:pgMar w:left="1440" w:right="1440" w:header="0" w:top="1440" w:footer="0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mic Sans MS">
    <w:charset w:val="00"/>
    <w:family w:val="script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>
      <w:rFonts w:ascii="Comic Sans MS" w:hAnsi="Comic Sans MS" w:eastAsia="Times New Roman" w:cs="Times New Roman"/>
      <w:sz w:val="24"/>
      <w:szCs w:val="20"/>
    </w:rPr>
  </w:style>
  <w:style w:type="character" w:styleId="Heading2Char">
    <w:name w:val="Heading 2 Char"/>
    <w:basedOn w:val="DefaultParagraphFont"/>
    <w:qFormat/>
    <w:rPr>
      <w:rFonts w:ascii="Arial" w:hAnsi="Arial" w:eastAsia="Times New Roman" w:cs="Arial"/>
      <w:b/>
      <w:bCs/>
      <w:i/>
      <w:iCs/>
      <w:sz w:val="28"/>
      <w:szCs w:val="28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Comic Sans MS" w:hAnsi="Comic Sans MS" w:cs="Comic Sans MS"/>
      <w:sz w:val="24"/>
      <w:lang w:val="en-US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webSettings" Target="/word/webSettings.xml" Id="R6db973b1c8834a96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124</TotalTime>
  <Application>Trio_Office/6.2.8.2$Windows_x86 LibreOffice_project/</Application>
  <Pages>2</Pages>
  <Words>428</Words>
  <Characters>2374</Characters>
  <CharactersWithSpaces>2716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2010-02-11T09:17:00Z</dcterms:created>
  <dc:creator>tebare</dc:creator>
  <dc:description/>
  <cp:keywords/>
  <dc:language>en-GB</dc:language>
  <cp:lastModifiedBy>tebare</cp:lastModifiedBy>
  <dcterms:modified xsi:type="dcterms:W3CDTF">2011-03-17T10:38:00Z</dcterms:modified>
  <cp:revision>8</cp:revision>
  <dc:subject/>
  <dc:title/>
</cp:coreProperties>
</file>