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F0FF5" w14:textId="3B164135" w:rsidR="00663F3C" w:rsidRPr="006C1C44" w:rsidRDefault="00240F45" w:rsidP="006C1C4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ADDIDAS SALES ANALYSIS</w:t>
      </w:r>
      <w:r w:rsidR="00663F3C" w:rsidRPr="006C1C44">
        <w:rPr>
          <w:rFonts w:ascii="Times New Roman" w:hAnsi="Times New Roman" w:cs="Times New Roman"/>
          <w:b/>
          <w:bCs/>
          <w:sz w:val="28"/>
          <w:szCs w:val="28"/>
        </w:rPr>
        <w:t xml:space="preserve">: </w:t>
      </w:r>
      <w:r w:rsidR="00984F51">
        <w:rPr>
          <w:rFonts w:ascii="Times New Roman" w:hAnsi="Times New Roman" w:cs="Times New Roman"/>
          <w:b/>
          <w:bCs/>
          <w:sz w:val="28"/>
          <w:szCs w:val="28"/>
        </w:rPr>
        <w:t>20</w:t>
      </w:r>
      <w:r>
        <w:rPr>
          <w:rFonts w:ascii="Times New Roman" w:hAnsi="Times New Roman" w:cs="Times New Roman"/>
          <w:b/>
          <w:bCs/>
          <w:sz w:val="28"/>
          <w:szCs w:val="28"/>
        </w:rPr>
        <w:t>20-2021</w:t>
      </w:r>
      <w:r w:rsidR="00984F51">
        <w:rPr>
          <w:rFonts w:ascii="Times New Roman" w:hAnsi="Times New Roman" w:cs="Times New Roman"/>
          <w:b/>
          <w:bCs/>
          <w:sz w:val="28"/>
          <w:szCs w:val="28"/>
        </w:rPr>
        <w:t xml:space="preserve"> </w:t>
      </w:r>
      <w:r>
        <w:rPr>
          <w:rFonts w:ascii="Times New Roman" w:hAnsi="Times New Roman" w:cs="Times New Roman"/>
          <w:b/>
          <w:bCs/>
          <w:sz w:val="28"/>
          <w:szCs w:val="28"/>
        </w:rPr>
        <w:t>REPORT</w:t>
      </w:r>
    </w:p>
    <w:p w14:paraId="3442C13C" w14:textId="7DBCBCC0" w:rsidR="00663F3C" w:rsidRPr="00663F3C" w:rsidRDefault="006C1C44" w:rsidP="006C1C44">
      <w:pPr>
        <w:spacing w:line="360" w:lineRule="auto"/>
        <w:rPr>
          <w:rFonts w:ascii="Times New Roman" w:hAnsi="Times New Roman" w:cs="Times New Roman"/>
          <w:b/>
          <w:bCs/>
          <w:sz w:val="24"/>
          <w:szCs w:val="24"/>
        </w:rPr>
      </w:pPr>
      <w:r w:rsidRPr="00663F3C">
        <w:rPr>
          <w:rFonts w:ascii="Times New Roman" w:hAnsi="Times New Roman" w:cs="Times New Roman"/>
          <w:b/>
          <w:bCs/>
          <w:sz w:val="24"/>
          <w:szCs w:val="24"/>
        </w:rPr>
        <w:t>INTRODUCTION</w:t>
      </w:r>
    </w:p>
    <w:p w14:paraId="0189198C" w14:textId="77777777" w:rsidR="00FD07B4" w:rsidRDefault="00FD07B4" w:rsidP="006C1C44">
      <w:pPr>
        <w:spacing w:line="360" w:lineRule="auto"/>
        <w:jc w:val="both"/>
        <w:rPr>
          <w:rFonts w:ascii="Times New Roman" w:hAnsi="Times New Roman" w:cs="Times New Roman"/>
          <w:sz w:val="24"/>
          <w:szCs w:val="24"/>
        </w:rPr>
      </w:pPr>
      <w:r w:rsidRPr="00FD07B4">
        <w:rPr>
          <w:rFonts w:ascii="Times New Roman" w:hAnsi="Times New Roman" w:cs="Times New Roman"/>
          <w:sz w:val="24"/>
          <w:szCs w:val="24"/>
        </w:rPr>
        <w:t>Adidas is a global clothing brand with products sold through various retail outlets worldwide. This report focuses on sales performance across retail stores in the United States. The goal is to uncover trends in revenue, customer purchase preferences, and regional performance across the 2020–2021 period.</w:t>
      </w:r>
    </w:p>
    <w:p w14:paraId="4A3755B8" w14:textId="63BA6A33" w:rsidR="000D4331" w:rsidRDefault="000D4331" w:rsidP="006C1C44">
      <w:pPr>
        <w:spacing w:line="360" w:lineRule="auto"/>
        <w:jc w:val="both"/>
        <w:rPr>
          <w:rFonts w:ascii="Times New Roman" w:hAnsi="Times New Roman" w:cs="Times New Roman"/>
          <w:b/>
          <w:bCs/>
          <w:sz w:val="24"/>
          <w:szCs w:val="24"/>
        </w:rPr>
      </w:pPr>
      <w:r w:rsidRPr="000D4331">
        <w:rPr>
          <w:rFonts w:ascii="Times New Roman" w:hAnsi="Times New Roman" w:cs="Times New Roman"/>
          <w:b/>
          <w:bCs/>
          <w:sz w:val="24"/>
          <w:szCs w:val="24"/>
        </w:rPr>
        <w:t>Objectives</w:t>
      </w:r>
    </w:p>
    <w:p w14:paraId="63FCD765" w14:textId="5B019275" w:rsidR="000D4331" w:rsidRPr="000D4331" w:rsidRDefault="000D4331" w:rsidP="000D4331">
      <w:pPr>
        <w:spacing w:line="360" w:lineRule="auto"/>
        <w:jc w:val="both"/>
        <w:rPr>
          <w:rFonts w:ascii="Times New Roman" w:hAnsi="Times New Roman" w:cs="Times New Roman"/>
          <w:sz w:val="24"/>
          <w:szCs w:val="24"/>
        </w:rPr>
      </w:pPr>
      <w:r w:rsidRPr="000D4331">
        <w:rPr>
          <w:rFonts w:ascii="Times New Roman" w:hAnsi="Times New Roman" w:cs="Times New Roman"/>
          <w:sz w:val="24"/>
          <w:szCs w:val="24"/>
        </w:rPr>
        <w:t>My objective is to analyze the revenue patterns, sales trends, and evaluate the performances of different</w:t>
      </w:r>
      <w:r w:rsidR="00E216D6">
        <w:rPr>
          <w:rFonts w:ascii="Times New Roman" w:hAnsi="Times New Roman" w:cs="Times New Roman"/>
          <w:sz w:val="24"/>
          <w:szCs w:val="24"/>
        </w:rPr>
        <w:t xml:space="preserve"> products</w:t>
      </w:r>
      <w:r w:rsidRPr="000D4331">
        <w:rPr>
          <w:rFonts w:ascii="Times New Roman" w:hAnsi="Times New Roman" w:cs="Times New Roman"/>
          <w:sz w:val="24"/>
          <w:szCs w:val="24"/>
        </w:rPr>
        <w:t>, customer preferences, regional performances</w:t>
      </w:r>
      <w:r w:rsidR="00E216D6">
        <w:rPr>
          <w:rFonts w:ascii="Times New Roman" w:hAnsi="Times New Roman" w:cs="Times New Roman"/>
          <w:sz w:val="24"/>
          <w:szCs w:val="24"/>
        </w:rPr>
        <w:t>.</w:t>
      </w:r>
    </w:p>
    <w:p w14:paraId="1BAC56CA" w14:textId="2A391B29" w:rsidR="000D4331" w:rsidRDefault="000D4331" w:rsidP="006C1C4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Problems being addressed</w:t>
      </w:r>
    </w:p>
    <w:p w14:paraId="5C9314AE" w14:textId="338B5EDE" w:rsidR="000D4331" w:rsidRDefault="00E216D6" w:rsidP="006C1C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goal </w:t>
      </w:r>
      <w:r w:rsidR="000D4331">
        <w:rPr>
          <w:rFonts w:ascii="Times New Roman" w:hAnsi="Times New Roman" w:cs="Times New Roman"/>
          <w:sz w:val="24"/>
          <w:szCs w:val="24"/>
        </w:rPr>
        <w:t>is to provide answers to the following questions;</w:t>
      </w:r>
    </w:p>
    <w:p w14:paraId="3D60AC2B" w14:textId="52273994" w:rsidR="000D4331" w:rsidRDefault="00E216D6" w:rsidP="000D4331">
      <w:pPr>
        <w:pStyle w:val="ListParagrap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Which product performed well in revenue and profit generation?</w:t>
      </w:r>
    </w:p>
    <w:p w14:paraId="2BE7DC04" w14:textId="7691D2E0" w:rsidR="000D4331" w:rsidRDefault="00E216D6" w:rsidP="000D4331">
      <w:pPr>
        <w:pStyle w:val="ListParagrap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Which region generated the most revenues in sales?</w:t>
      </w:r>
    </w:p>
    <w:p w14:paraId="301D4D30" w14:textId="64F4B808" w:rsidR="00E216D6" w:rsidRDefault="00E216D6" w:rsidP="000D4331">
      <w:pPr>
        <w:pStyle w:val="ListParagrap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The retailer with the most sales.</w:t>
      </w:r>
    </w:p>
    <w:p w14:paraId="7CD88713" w14:textId="6E063273" w:rsidR="000D4331" w:rsidRDefault="00E216D6" w:rsidP="000D4331">
      <w:pPr>
        <w:pStyle w:val="ListParagrap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Which products was purchased most in units.</w:t>
      </w:r>
    </w:p>
    <w:p w14:paraId="33D9F566" w14:textId="37146BD1" w:rsidR="00E216D6" w:rsidRDefault="00E216D6" w:rsidP="000D4331">
      <w:pPr>
        <w:pStyle w:val="ListParagrap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Which sales method contributed highly to revenue</w:t>
      </w:r>
    </w:p>
    <w:p w14:paraId="5581CD29" w14:textId="14558E52" w:rsidR="000D4331" w:rsidRPr="000D4331" w:rsidRDefault="000D4331" w:rsidP="000D4331">
      <w:pPr>
        <w:pStyle w:val="ListParagraph"/>
        <w:numPr>
          <w:ilvl w:val="0"/>
          <w:numId w:val="48"/>
        </w:numPr>
        <w:spacing w:line="360" w:lineRule="auto"/>
        <w:jc w:val="both"/>
        <w:rPr>
          <w:rFonts w:ascii="Times New Roman" w:hAnsi="Times New Roman" w:cs="Times New Roman"/>
          <w:sz w:val="24"/>
          <w:szCs w:val="24"/>
        </w:rPr>
      </w:pPr>
      <w:r>
        <w:rPr>
          <w:rFonts w:ascii="Times New Roman" w:hAnsi="Times New Roman" w:cs="Times New Roman"/>
          <w:sz w:val="24"/>
          <w:szCs w:val="24"/>
        </w:rPr>
        <w:t>The states with outstanding sales performa</w:t>
      </w:r>
      <w:r w:rsidR="00E216D6">
        <w:rPr>
          <w:rFonts w:ascii="Times New Roman" w:hAnsi="Times New Roman" w:cs="Times New Roman"/>
          <w:sz w:val="24"/>
          <w:szCs w:val="24"/>
        </w:rPr>
        <w:t>nce.</w:t>
      </w:r>
    </w:p>
    <w:p w14:paraId="356992EC" w14:textId="755C8E97" w:rsidR="00663F3C" w:rsidRPr="006C1C44" w:rsidRDefault="00663F3C" w:rsidP="006C1C44">
      <w:pPr>
        <w:spacing w:line="360" w:lineRule="auto"/>
        <w:jc w:val="both"/>
        <w:rPr>
          <w:rFonts w:ascii="Times New Roman" w:hAnsi="Times New Roman" w:cs="Times New Roman"/>
          <w:b/>
          <w:bCs/>
          <w:sz w:val="24"/>
          <w:szCs w:val="24"/>
        </w:rPr>
      </w:pPr>
      <w:r w:rsidRPr="00663F3C">
        <w:rPr>
          <w:rFonts w:ascii="Times New Roman" w:hAnsi="Times New Roman" w:cs="Times New Roman"/>
          <w:b/>
          <w:bCs/>
          <w:sz w:val="24"/>
          <w:szCs w:val="24"/>
        </w:rPr>
        <w:t>Stakeholders</w:t>
      </w:r>
    </w:p>
    <w:p w14:paraId="2B7102C1" w14:textId="4F42B773" w:rsidR="00663F3C" w:rsidRPr="006C1C44" w:rsidRDefault="00663F3C" w:rsidP="006C1C44">
      <w:pPr>
        <w:spacing w:line="360" w:lineRule="auto"/>
        <w:jc w:val="both"/>
        <w:rPr>
          <w:rFonts w:ascii="Times New Roman" w:hAnsi="Times New Roman" w:cs="Times New Roman"/>
          <w:sz w:val="24"/>
          <w:szCs w:val="24"/>
        </w:rPr>
      </w:pPr>
      <w:r w:rsidRPr="006C1C44">
        <w:rPr>
          <w:rFonts w:ascii="Times New Roman" w:hAnsi="Times New Roman" w:cs="Times New Roman"/>
          <w:sz w:val="24"/>
          <w:szCs w:val="24"/>
        </w:rPr>
        <w:t>The CEOs, sales and marketing team, inventory management, and the finance department</w:t>
      </w:r>
      <w:r w:rsidR="00240F45">
        <w:rPr>
          <w:rFonts w:ascii="Times New Roman" w:hAnsi="Times New Roman" w:cs="Times New Roman"/>
          <w:sz w:val="24"/>
          <w:szCs w:val="24"/>
        </w:rPr>
        <w:t xml:space="preserve"> at Addidas</w:t>
      </w:r>
      <w:r w:rsidR="00E216D6">
        <w:rPr>
          <w:rFonts w:ascii="Times New Roman" w:hAnsi="Times New Roman" w:cs="Times New Roman"/>
          <w:sz w:val="24"/>
          <w:szCs w:val="24"/>
        </w:rPr>
        <w:t xml:space="preserve"> and retailer representatives across the country.</w:t>
      </w:r>
    </w:p>
    <w:p w14:paraId="333BE51D" w14:textId="0CB0A1D4" w:rsidR="00663F3C" w:rsidRPr="006C1C44" w:rsidRDefault="00663F3C" w:rsidP="006C1C44">
      <w:pPr>
        <w:spacing w:line="360" w:lineRule="auto"/>
        <w:jc w:val="both"/>
        <w:rPr>
          <w:rFonts w:ascii="Times New Roman" w:hAnsi="Times New Roman" w:cs="Times New Roman"/>
          <w:b/>
          <w:bCs/>
          <w:sz w:val="24"/>
          <w:szCs w:val="24"/>
        </w:rPr>
      </w:pPr>
      <w:r w:rsidRPr="006C1C44">
        <w:rPr>
          <w:rFonts w:ascii="Times New Roman" w:hAnsi="Times New Roman" w:cs="Times New Roman"/>
          <w:b/>
          <w:bCs/>
          <w:sz w:val="24"/>
          <w:szCs w:val="24"/>
        </w:rPr>
        <w:t xml:space="preserve">Industry type </w:t>
      </w:r>
    </w:p>
    <w:p w14:paraId="0F49C3F8" w14:textId="03749179" w:rsidR="00663F3C" w:rsidRDefault="00663F3C" w:rsidP="006C1C44">
      <w:pPr>
        <w:spacing w:line="360" w:lineRule="auto"/>
        <w:jc w:val="both"/>
        <w:rPr>
          <w:rFonts w:ascii="Times New Roman" w:hAnsi="Times New Roman" w:cs="Times New Roman"/>
          <w:sz w:val="24"/>
          <w:szCs w:val="24"/>
        </w:rPr>
      </w:pPr>
      <w:r w:rsidRPr="006C1C44">
        <w:rPr>
          <w:rFonts w:ascii="Times New Roman" w:hAnsi="Times New Roman" w:cs="Times New Roman"/>
          <w:sz w:val="24"/>
          <w:szCs w:val="24"/>
        </w:rPr>
        <w:t xml:space="preserve">This dataset </w:t>
      </w:r>
      <w:r w:rsidR="00E216D6">
        <w:rPr>
          <w:rFonts w:ascii="Times New Roman" w:hAnsi="Times New Roman" w:cs="Times New Roman"/>
          <w:sz w:val="24"/>
          <w:szCs w:val="24"/>
        </w:rPr>
        <w:t>of a</w:t>
      </w:r>
      <w:r w:rsidRPr="006C1C44">
        <w:rPr>
          <w:rFonts w:ascii="Times New Roman" w:hAnsi="Times New Roman" w:cs="Times New Roman"/>
          <w:sz w:val="24"/>
          <w:szCs w:val="24"/>
        </w:rPr>
        <w:t xml:space="preserve"> </w:t>
      </w:r>
      <w:r w:rsidR="00E216D6">
        <w:rPr>
          <w:rFonts w:ascii="Times New Roman" w:hAnsi="Times New Roman" w:cs="Times New Roman"/>
          <w:sz w:val="24"/>
          <w:szCs w:val="24"/>
        </w:rPr>
        <w:t>global brand sold</w:t>
      </w:r>
      <w:r w:rsidR="00984F51">
        <w:rPr>
          <w:rFonts w:ascii="Times New Roman" w:hAnsi="Times New Roman" w:cs="Times New Roman"/>
          <w:sz w:val="24"/>
          <w:szCs w:val="24"/>
        </w:rPr>
        <w:t xml:space="preserve"> </w:t>
      </w:r>
      <w:r w:rsidR="00E216D6">
        <w:rPr>
          <w:rFonts w:ascii="Times New Roman" w:hAnsi="Times New Roman" w:cs="Times New Roman"/>
          <w:sz w:val="24"/>
          <w:szCs w:val="24"/>
        </w:rPr>
        <w:t>in different retail stores</w:t>
      </w:r>
      <w:r w:rsidR="00984F51">
        <w:rPr>
          <w:rFonts w:ascii="Times New Roman" w:hAnsi="Times New Roman" w:cs="Times New Roman"/>
          <w:sz w:val="24"/>
          <w:szCs w:val="24"/>
        </w:rPr>
        <w:t>.</w:t>
      </w:r>
    </w:p>
    <w:p w14:paraId="09CF28AB" w14:textId="77777777" w:rsidR="002A11DB" w:rsidRDefault="002A11DB" w:rsidP="006C1C44">
      <w:pPr>
        <w:spacing w:line="360" w:lineRule="auto"/>
        <w:jc w:val="both"/>
        <w:rPr>
          <w:rFonts w:ascii="Times New Roman" w:hAnsi="Times New Roman" w:cs="Times New Roman"/>
          <w:b/>
          <w:bCs/>
          <w:sz w:val="24"/>
          <w:szCs w:val="24"/>
        </w:rPr>
      </w:pPr>
      <w:r w:rsidRPr="002A11DB">
        <w:rPr>
          <w:rFonts w:ascii="Times New Roman" w:hAnsi="Times New Roman" w:cs="Times New Roman"/>
          <w:b/>
          <w:bCs/>
          <w:sz w:val="24"/>
          <w:szCs w:val="24"/>
        </w:rPr>
        <w:t>Story of the data</w:t>
      </w:r>
    </w:p>
    <w:p w14:paraId="62DB872C" w14:textId="23AB13C6" w:rsidR="007A03D5" w:rsidRPr="007A03D5" w:rsidRDefault="007A03D5" w:rsidP="007A03D5">
      <w:pPr>
        <w:spacing w:line="360" w:lineRule="auto"/>
        <w:jc w:val="both"/>
        <w:rPr>
          <w:rFonts w:ascii="Times New Roman" w:hAnsi="Times New Roman" w:cs="Times New Roman"/>
          <w:sz w:val="24"/>
          <w:szCs w:val="24"/>
        </w:rPr>
      </w:pPr>
      <w:r w:rsidRPr="007A03D5">
        <w:rPr>
          <w:rFonts w:ascii="Times New Roman" w:hAnsi="Times New Roman" w:cs="Times New Roman"/>
          <w:sz w:val="24"/>
          <w:szCs w:val="24"/>
        </w:rPr>
        <w:t xml:space="preserve">The dataset contains product sales information (name, category, price), purchase dates, </w:t>
      </w:r>
      <w:r w:rsidR="00984F51">
        <w:rPr>
          <w:rFonts w:ascii="Times New Roman" w:hAnsi="Times New Roman" w:cs="Times New Roman"/>
          <w:sz w:val="24"/>
          <w:szCs w:val="24"/>
        </w:rPr>
        <w:t>units sold and regions.</w:t>
      </w:r>
    </w:p>
    <w:p w14:paraId="1ADD9A1F" w14:textId="77777777" w:rsidR="007A03D5" w:rsidRPr="007A03D5" w:rsidRDefault="007A03D5" w:rsidP="007A03D5">
      <w:pPr>
        <w:spacing w:line="360" w:lineRule="auto"/>
        <w:jc w:val="both"/>
        <w:rPr>
          <w:rFonts w:ascii="Times New Roman" w:hAnsi="Times New Roman" w:cs="Times New Roman"/>
          <w:b/>
          <w:bCs/>
          <w:sz w:val="24"/>
          <w:szCs w:val="24"/>
        </w:rPr>
      </w:pPr>
      <w:r w:rsidRPr="007A03D5">
        <w:rPr>
          <w:rFonts w:ascii="Times New Roman" w:hAnsi="Times New Roman" w:cs="Times New Roman"/>
          <w:b/>
          <w:bCs/>
          <w:sz w:val="24"/>
          <w:szCs w:val="24"/>
        </w:rPr>
        <w:t>Success to the company</w:t>
      </w:r>
    </w:p>
    <w:p w14:paraId="147D4C68" w14:textId="612435CF" w:rsidR="00EB17B6" w:rsidRPr="00EB17B6" w:rsidRDefault="00984F51" w:rsidP="007A03D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Generating more revenues and improving customer loyalty.</w:t>
      </w:r>
    </w:p>
    <w:p w14:paraId="20DC10CB" w14:textId="71A86074" w:rsidR="007A03D5" w:rsidRPr="007A03D5" w:rsidRDefault="007A03D5" w:rsidP="007A03D5">
      <w:pPr>
        <w:spacing w:line="360" w:lineRule="auto"/>
        <w:jc w:val="both"/>
        <w:rPr>
          <w:rFonts w:ascii="Times New Roman" w:hAnsi="Times New Roman" w:cs="Times New Roman"/>
          <w:b/>
          <w:bCs/>
          <w:sz w:val="24"/>
          <w:szCs w:val="24"/>
        </w:rPr>
      </w:pPr>
      <w:r w:rsidRPr="007A03D5">
        <w:rPr>
          <w:rFonts w:ascii="Times New Roman" w:hAnsi="Times New Roman" w:cs="Times New Roman"/>
          <w:b/>
          <w:bCs/>
          <w:sz w:val="24"/>
          <w:szCs w:val="24"/>
        </w:rPr>
        <w:t>DATA PROCESSING AND CLEANING</w:t>
      </w:r>
    </w:p>
    <w:p w14:paraId="357D0301" w14:textId="77777777" w:rsidR="007A03D5" w:rsidRPr="007A03D5" w:rsidRDefault="007A03D5" w:rsidP="007A03D5">
      <w:pPr>
        <w:spacing w:line="360" w:lineRule="auto"/>
        <w:jc w:val="both"/>
        <w:rPr>
          <w:rFonts w:ascii="Times New Roman" w:hAnsi="Times New Roman" w:cs="Times New Roman"/>
          <w:b/>
          <w:bCs/>
          <w:sz w:val="24"/>
          <w:szCs w:val="24"/>
        </w:rPr>
      </w:pPr>
      <w:r w:rsidRPr="007A03D5">
        <w:rPr>
          <w:rFonts w:ascii="Times New Roman" w:hAnsi="Times New Roman" w:cs="Times New Roman"/>
          <w:b/>
          <w:bCs/>
          <w:sz w:val="24"/>
          <w:szCs w:val="24"/>
        </w:rPr>
        <w:t>Data structure</w:t>
      </w:r>
    </w:p>
    <w:p w14:paraId="17E90D3D" w14:textId="77D760CA" w:rsidR="007A03D5" w:rsidRPr="007A03D5" w:rsidRDefault="007A03D5" w:rsidP="007A03D5">
      <w:pPr>
        <w:pStyle w:val="ListParagraph"/>
        <w:numPr>
          <w:ilvl w:val="0"/>
          <w:numId w:val="31"/>
        </w:numPr>
        <w:spacing w:line="360" w:lineRule="auto"/>
        <w:jc w:val="both"/>
        <w:rPr>
          <w:rFonts w:ascii="Times New Roman" w:hAnsi="Times New Roman" w:cs="Times New Roman"/>
          <w:sz w:val="24"/>
          <w:szCs w:val="24"/>
        </w:rPr>
      </w:pPr>
      <w:r w:rsidRPr="007A03D5">
        <w:rPr>
          <w:rFonts w:ascii="Times New Roman" w:hAnsi="Times New Roman" w:cs="Times New Roman"/>
          <w:sz w:val="24"/>
          <w:szCs w:val="24"/>
        </w:rPr>
        <w:t xml:space="preserve">Data volume is </w:t>
      </w:r>
      <w:r w:rsidR="000D4331">
        <w:rPr>
          <w:rFonts w:ascii="Times New Roman" w:hAnsi="Times New Roman" w:cs="Times New Roman"/>
          <w:sz w:val="24"/>
          <w:szCs w:val="24"/>
        </w:rPr>
        <w:t xml:space="preserve">13 </w:t>
      </w:r>
      <w:r w:rsidRPr="007A03D5">
        <w:rPr>
          <w:rFonts w:ascii="Times New Roman" w:hAnsi="Times New Roman" w:cs="Times New Roman"/>
          <w:sz w:val="24"/>
          <w:szCs w:val="24"/>
        </w:rPr>
        <w:t xml:space="preserve">columns and </w:t>
      </w:r>
      <w:r w:rsidR="000D4331">
        <w:rPr>
          <w:rFonts w:ascii="Times New Roman" w:hAnsi="Times New Roman" w:cs="Times New Roman"/>
          <w:sz w:val="24"/>
          <w:szCs w:val="24"/>
        </w:rPr>
        <w:t>9648</w:t>
      </w:r>
      <w:r w:rsidRPr="007A03D5">
        <w:rPr>
          <w:rFonts w:ascii="Times New Roman" w:hAnsi="Times New Roman" w:cs="Times New Roman"/>
          <w:sz w:val="24"/>
          <w:szCs w:val="24"/>
        </w:rPr>
        <w:t xml:space="preserve"> rows.</w:t>
      </w:r>
    </w:p>
    <w:p w14:paraId="62ADA8C3" w14:textId="56941101" w:rsidR="007A03D5" w:rsidRPr="007A03D5" w:rsidRDefault="007A03D5" w:rsidP="007A03D5">
      <w:pPr>
        <w:pStyle w:val="ListParagraph"/>
        <w:numPr>
          <w:ilvl w:val="0"/>
          <w:numId w:val="31"/>
        </w:numPr>
        <w:spacing w:line="360" w:lineRule="auto"/>
        <w:jc w:val="both"/>
        <w:rPr>
          <w:rFonts w:ascii="Times New Roman" w:hAnsi="Times New Roman" w:cs="Times New Roman"/>
          <w:sz w:val="24"/>
          <w:szCs w:val="24"/>
        </w:rPr>
      </w:pPr>
      <w:r w:rsidRPr="007A03D5">
        <w:rPr>
          <w:rFonts w:ascii="Times New Roman" w:hAnsi="Times New Roman" w:cs="Times New Roman"/>
          <w:sz w:val="24"/>
          <w:szCs w:val="24"/>
        </w:rPr>
        <w:t xml:space="preserve">The data </w:t>
      </w:r>
      <w:r w:rsidR="000D4331">
        <w:rPr>
          <w:rFonts w:ascii="Times New Roman" w:hAnsi="Times New Roman" w:cs="Times New Roman"/>
          <w:sz w:val="24"/>
          <w:szCs w:val="24"/>
        </w:rPr>
        <w:t xml:space="preserve">contains sales information spanning from </w:t>
      </w:r>
      <w:r w:rsidR="00984F51">
        <w:rPr>
          <w:rFonts w:ascii="Times New Roman" w:hAnsi="Times New Roman" w:cs="Times New Roman"/>
          <w:sz w:val="24"/>
          <w:szCs w:val="24"/>
        </w:rPr>
        <w:t>2</w:t>
      </w:r>
      <w:r w:rsidR="000D4331">
        <w:rPr>
          <w:rFonts w:ascii="Times New Roman" w:hAnsi="Times New Roman" w:cs="Times New Roman"/>
          <w:sz w:val="24"/>
          <w:szCs w:val="24"/>
        </w:rPr>
        <w:t>020 to 2021</w:t>
      </w:r>
    </w:p>
    <w:p w14:paraId="5C568517" w14:textId="1B2E7C1B" w:rsidR="002A11DB" w:rsidRPr="00EB17B6" w:rsidRDefault="007A03D5" w:rsidP="006C1C44">
      <w:pPr>
        <w:pStyle w:val="ListParagraph"/>
        <w:numPr>
          <w:ilvl w:val="0"/>
          <w:numId w:val="31"/>
        </w:numPr>
        <w:spacing w:line="360" w:lineRule="auto"/>
        <w:jc w:val="both"/>
        <w:rPr>
          <w:rFonts w:ascii="Times New Roman" w:hAnsi="Times New Roman" w:cs="Times New Roman"/>
          <w:sz w:val="24"/>
          <w:szCs w:val="24"/>
        </w:rPr>
      </w:pPr>
      <w:r w:rsidRPr="007A03D5">
        <w:rPr>
          <w:rFonts w:ascii="Times New Roman" w:hAnsi="Times New Roman" w:cs="Times New Roman"/>
          <w:sz w:val="24"/>
          <w:szCs w:val="24"/>
        </w:rPr>
        <w:t xml:space="preserve">Each record of sales includes product details, quantity, </w:t>
      </w:r>
      <w:r w:rsidR="00984F51">
        <w:rPr>
          <w:rFonts w:ascii="Times New Roman" w:hAnsi="Times New Roman" w:cs="Times New Roman"/>
          <w:sz w:val="24"/>
          <w:szCs w:val="24"/>
        </w:rPr>
        <w:t>total revenue</w:t>
      </w:r>
      <w:r w:rsidRPr="007A03D5">
        <w:rPr>
          <w:rFonts w:ascii="Times New Roman" w:hAnsi="Times New Roman" w:cs="Times New Roman"/>
          <w:sz w:val="24"/>
          <w:szCs w:val="24"/>
        </w:rPr>
        <w:t>, region</w:t>
      </w:r>
      <w:r w:rsidR="00984F51">
        <w:rPr>
          <w:rFonts w:ascii="Times New Roman" w:hAnsi="Times New Roman" w:cs="Times New Roman"/>
          <w:sz w:val="24"/>
          <w:szCs w:val="24"/>
        </w:rPr>
        <w:t>,</w:t>
      </w:r>
      <w:r w:rsidR="00E216D6">
        <w:rPr>
          <w:rFonts w:ascii="Times New Roman" w:hAnsi="Times New Roman" w:cs="Times New Roman"/>
          <w:sz w:val="24"/>
          <w:szCs w:val="24"/>
        </w:rPr>
        <w:t xml:space="preserve"> profits,</w:t>
      </w:r>
      <w:r w:rsidR="00984F51">
        <w:rPr>
          <w:rFonts w:ascii="Times New Roman" w:hAnsi="Times New Roman" w:cs="Times New Roman"/>
          <w:sz w:val="24"/>
          <w:szCs w:val="24"/>
        </w:rPr>
        <w:t xml:space="preserve"> </w:t>
      </w:r>
      <w:r w:rsidR="000D4331">
        <w:rPr>
          <w:rFonts w:ascii="Times New Roman" w:hAnsi="Times New Roman" w:cs="Times New Roman"/>
          <w:sz w:val="24"/>
          <w:szCs w:val="24"/>
        </w:rPr>
        <w:t>retail</w:t>
      </w:r>
      <w:r w:rsidR="00E216D6">
        <w:rPr>
          <w:rFonts w:ascii="Times New Roman" w:hAnsi="Times New Roman" w:cs="Times New Roman"/>
          <w:sz w:val="24"/>
          <w:szCs w:val="24"/>
        </w:rPr>
        <w:t xml:space="preserve"> stores</w:t>
      </w:r>
      <w:r w:rsidR="00984F51">
        <w:rPr>
          <w:rFonts w:ascii="Times New Roman" w:hAnsi="Times New Roman" w:cs="Times New Roman"/>
          <w:sz w:val="24"/>
          <w:szCs w:val="24"/>
        </w:rPr>
        <w:t>.</w:t>
      </w:r>
    </w:p>
    <w:p w14:paraId="38EA732F" w14:textId="11F807CE" w:rsidR="00663F3C" w:rsidRPr="006C1C44" w:rsidRDefault="00663F3C" w:rsidP="006C1C44">
      <w:pPr>
        <w:spacing w:line="360" w:lineRule="auto"/>
        <w:jc w:val="both"/>
        <w:rPr>
          <w:rFonts w:ascii="Times New Roman" w:hAnsi="Times New Roman" w:cs="Times New Roman"/>
          <w:b/>
          <w:bCs/>
          <w:sz w:val="24"/>
          <w:szCs w:val="24"/>
        </w:rPr>
      </w:pPr>
      <w:r w:rsidRPr="006C1C44">
        <w:rPr>
          <w:rFonts w:ascii="Times New Roman" w:hAnsi="Times New Roman" w:cs="Times New Roman"/>
          <w:b/>
          <w:bCs/>
          <w:sz w:val="24"/>
          <w:szCs w:val="24"/>
        </w:rPr>
        <w:t>Data cleaning</w:t>
      </w:r>
    </w:p>
    <w:p w14:paraId="1D880E8D" w14:textId="54DF29CE" w:rsidR="00663F3C" w:rsidRPr="006C1C44" w:rsidRDefault="00663F3C" w:rsidP="006C1C44">
      <w:pPr>
        <w:pStyle w:val="ListParagraph"/>
        <w:numPr>
          <w:ilvl w:val="0"/>
          <w:numId w:val="7"/>
        </w:numPr>
        <w:spacing w:line="360" w:lineRule="auto"/>
        <w:jc w:val="both"/>
        <w:rPr>
          <w:rFonts w:ascii="Times New Roman" w:hAnsi="Times New Roman" w:cs="Times New Roman"/>
          <w:b/>
          <w:bCs/>
          <w:sz w:val="24"/>
          <w:szCs w:val="24"/>
        </w:rPr>
      </w:pPr>
      <w:r w:rsidRPr="006C1C44">
        <w:rPr>
          <w:rFonts w:ascii="Times New Roman" w:hAnsi="Times New Roman" w:cs="Times New Roman"/>
          <w:sz w:val="24"/>
          <w:szCs w:val="24"/>
        </w:rPr>
        <w:t>I removed duplicated entries to ensure each record is unique which improved the accuracy of the analysis</w:t>
      </w:r>
    </w:p>
    <w:p w14:paraId="1B0FE260" w14:textId="2DB1B779" w:rsidR="00663F3C" w:rsidRPr="006C1C44" w:rsidRDefault="00663F3C" w:rsidP="006C1C44">
      <w:pPr>
        <w:pStyle w:val="ListParagraph"/>
        <w:numPr>
          <w:ilvl w:val="0"/>
          <w:numId w:val="7"/>
        </w:numPr>
        <w:spacing w:line="360" w:lineRule="auto"/>
        <w:jc w:val="both"/>
        <w:rPr>
          <w:rFonts w:ascii="Times New Roman" w:hAnsi="Times New Roman" w:cs="Times New Roman"/>
          <w:b/>
          <w:bCs/>
          <w:sz w:val="24"/>
          <w:szCs w:val="24"/>
        </w:rPr>
      </w:pPr>
      <w:r w:rsidRPr="006C1C44">
        <w:rPr>
          <w:rFonts w:ascii="Times New Roman" w:hAnsi="Times New Roman" w:cs="Times New Roman"/>
          <w:sz w:val="24"/>
          <w:szCs w:val="24"/>
        </w:rPr>
        <w:t xml:space="preserve">I </w:t>
      </w:r>
      <w:r w:rsidR="00352B87" w:rsidRPr="006C1C44">
        <w:rPr>
          <w:rFonts w:ascii="Times New Roman" w:hAnsi="Times New Roman" w:cs="Times New Roman"/>
          <w:sz w:val="24"/>
          <w:szCs w:val="24"/>
        </w:rPr>
        <w:t>removed empty cells and replaced some where appropriate</w:t>
      </w:r>
    </w:p>
    <w:p w14:paraId="77581329" w14:textId="50B59D38" w:rsidR="00352B87" w:rsidRPr="006C1C44" w:rsidRDefault="00352B87" w:rsidP="006C1C44">
      <w:pPr>
        <w:pStyle w:val="ListParagraph"/>
        <w:numPr>
          <w:ilvl w:val="0"/>
          <w:numId w:val="7"/>
        </w:numPr>
        <w:spacing w:line="360" w:lineRule="auto"/>
        <w:jc w:val="both"/>
        <w:rPr>
          <w:rFonts w:ascii="Times New Roman" w:hAnsi="Times New Roman" w:cs="Times New Roman"/>
          <w:b/>
          <w:bCs/>
          <w:sz w:val="24"/>
          <w:szCs w:val="24"/>
        </w:rPr>
      </w:pPr>
      <w:r w:rsidRPr="006C1C44">
        <w:rPr>
          <w:rFonts w:ascii="Times New Roman" w:hAnsi="Times New Roman" w:cs="Times New Roman"/>
          <w:sz w:val="24"/>
          <w:szCs w:val="24"/>
        </w:rPr>
        <w:t>I standardized each column headers to ensure consistency and uniformity.</w:t>
      </w:r>
    </w:p>
    <w:p w14:paraId="62E2F44B" w14:textId="754A2923" w:rsidR="00352B87" w:rsidRPr="006C1C44" w:rsidRDefault="00352B87" w:rsidP="006C1C44">
      <w:pPr>
        <w:pStyle w:val="ListParagraph"/>
        <w:numPr>
          <w:ilvl w:val="0"/>
          <w:numId w:val="7"/>
        </w:numPr>
        <w:spacing w:line="360" w:lineRule="auto"/>
        <w:jc w:val="both"/>
        <w:rPr>
          <w:rFonts w:ascii="Times New Roman" w:hAnsi="Times New Roman" w:cs="Times New Roman"/>
          <w:b/>
          <w:bCs/>
          <w:sz w:val="24"/>
          <w:szCs w:val="24"/>
        </w:rPr>
      </w:pPr>
      <w:r w:rsidRPr="006C1C44">
        <w:rPr>
          <w:rFonts w:ascii="Times New Roman" w:hAnsi="Times New Roman" w:cs="Times New Roman"/>
          <w:sz w:val="24"/>
          <w:szCs w:val="24"/>
        </w:rPr>
        <w:t>I formatted the dataset into a standard excel table to improve navigation and sorting during analysis</w:t>
      </w:r>
    </w:p>
    <w:p w14:paraId="0EA8CB29" w14:textId="06112BA0" w:rsidR="002A11DB" w:rsidRPr="007A03D5" w:rsidRDefault="00352B87" w:rsidP="002A11DB">
      <w:pPr>
        <w:pStyle w:val="ListParagraph"/>
        <w:numPr>
          <w:ilvl w:val="0"/>
          <w:numId w:val="7"/>
        </w:numPr>
        <w:spacing w:line="360" w:lineRule="auto"/>
        <w:jc w:val="both"/>
        <w:rPr>
          <w:rFonts w:ascii="Times New Roman" w:hAnsi="Times New Roman" w:cs="Times New Roman"/>
          <w:b/>
          <w:bCs/>
          <w:sz w:val="24"/>
          <w:szCs w:val="24"/>
        </w:rPr>
      </w:pPr>
      <w:r w:rsidRPr="006C1C44">
        <w:rPr>
          <w:rFonts w:ascii="Times New Roman" w:hAnsi="Times New Roman" w:cs="Times New Roman"/>
          <w:sz w:val="24"/>
          <w:szCs w:val="24"/>
        </w:rPr>
        <w:t>I applied consistent font styles and colors for better readability and clarity.</w:t>
      </w:r>
    </w:p>
    <w:p w14:paraId="0EDE0C55" w14:textId="4EF821CF" w:rsidR="007A03D5" w:rsidRDefault="007A03D5" w:rsidP="007A03D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Key variables in the dataset</w:t>
      </w:r>
    </w:p>
    <w:p w14:paraId="4B787220" w14:textId="3BC00B4C" w:rsidR="007A03D5" w:rsidRPr="007A03D5" w:rsidRDefault="007A03D5" w:rsidP="007A03D5">
      <w:pPr>
        <w:pStyle w:val="ListParagraph"/>
        <w:numPr>
          <w:ilvl w:val="0"/>
          <w:numId w:val="3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Product: </w:t>
      </w:r>
      <w:r w:rsidR="00E216D6">
        <w:rPr>
          <w:rFonts w:ascii="Times New Roman" w:hAnsi="Times New Roman" w:cs="Times New Roman"/>
          <w:sz w:val="24"/>
          <w:szCs w:val="24"/>
        </w:rPr>
        <w:t>The different brands sold across the various retail stores</w:t>
      </w:r>
      <w:r w:rsidR="00984F51">
        <w:rPr>
          <w:rFonts w:ascii="Times New Roman" w:hAnsi="Times New Roman" w:cs="Times New Roman"/>
          <w:sz w:val="24"/>
          <w:szCs w:val="24"/>
        </w:rPr>
        <w:t>.</w:t>
      </w:r>
    </w:p>
    <w:p w14:paraId="23D1337D" w14:textId="09AD9A78" w:rsidR="007A03D5" w:rsidRPr="007A03D5" w:rsidRDefault="00984F51" w:rsidP="007A03D5">
      <w:pPr>
        <w:pStyle w:val="ListParagraph"/>
        <w:numPr>
          <w:ilvl w:val="0"/>
          <w:numId w:val="3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Total </w:t>
      </w:r>
      <w:r w:rsidR="00607129">
        <w:rPr>
          <w:rFonts w:ascii="Times New Roman" w:hAnsi="Times New Roman" w:cs="Times New Roman"/>
          <w:b/>
          <w:bCs/>
          <w:sz w:val="24"/>
          <w:szCs w:val="24"/>
        </w:rPr>
        <w:t>sales</w:t>
      </w:r>
      <w:r w:rsidR="007A03D5">
        <w:rPr>
          <w:rFonts w:ascii="Times New Roman" w:hAnsi="Times New Roman" w:cs="Times New Roman"/>
          <w:b/>
          <w:bCs/>
          <w:sz w:val="24"/>
          <w:szCs w:val="24"/>
        </w:rPr>
        <w:t xml:space="preserve">: </w:t>
      </w:r>
      <w:r w:rsidR="007A03D5">
        <w:rPr>
          <w:rFonts w:ascii="Times New Roman" w:hAnsi="Times New Roman" w:cs="Times New Roman"/>
          <w:sz w:val="24"/>
          <w:szCs w:val="24"/>
        </w:rPr>
        <w:t xml:space="preserve">This column shows the </w:t>
      </w:r>
      <w:r>
        <w:rPr>
          <w:rFonts w:ascii="Times New Roman" w:hAnsi="Times New Roman" w:cs="Times New Roman"/>
          <w:sz w:val="24"/>
          <w:szCs w:val="24"/>
        </w:rPr>
        <w:t>total revenue from each sale.</w:t>
      </w:r>
      <w:r w:rsidR="007A03D5">
        <w:rPr>
          <w:rFonts w:ascii="Times New Roman" w:hAnsi="Times New Roman" w:cs="Times New Roman"/>
          <w:sz w:val="24"/>
          <w:szCs w:val="24"/>
        </w:rPr>
        <w:t xml:space="preserve"> </w:t>
      </w:r>
    </w:p>
    <w:p w14:paraId="79DC6CBD" w14:textId="59BCF093" w:rsidR="007A03D5" w:rsidRPr="007A03D5" w:rsidRDefault="007A03D5" w:rsidP="007A03D5">
      <w:pPr>
        <w:pStyle w:val="ListParagraph"/>
        <w:numPr>
          <w:ilvl w:val="0"/>
          <w:numId w:val="3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Unit price: </w:t>
      </w:r>
      <w:r>
        <w:rPr>
          <w:rFonts w:ascii="Times New Roman" w:hAnsi="Times New Roman" w:cs="Times New Roman"/>
          <w:sz w:val="24"/>
          <w:szCs w:val="24"/>
        </w:rPr>
        <w:t>Contains the selling price for each product.</w:t>
      </w:r>
    </w:p>
    <w:p w14:paraId="2AC0DA62" w14:textId="1EED79B3" w:rsidR="007A03D5" w:rsidRPr="00607129" w:rsidRDefault="00984F51" w:rsidP="007A03D5">
      <w:pPr>
        <w:pStyle w:val="ListParagraph"/>
        <w:numPr>
          <w:ilvl w:val="0"/>
          <w:numId w:val="3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Payment method: </w:t>
      </w:r>
      <w:r>
        <w:rPr>
          <w:rFonts w:ascii="Times New Roman" w:hAnsi="Times New Roman" w:cs="Times New Roman"/>
          <w:sz w:val="24"/>
          <w:szCs w:val="24"/>
        </w:rPr>
        <w:t xml:space="preserve">The </w:t>
      </w:r>
      <w:r w:rsidR="00D71F0F">
        <w:rPr>
          <w:rFonts w:ascii="Times New Roman" w:hAnsi="Times New Roman" w:cs="Times New Roman"/>
          <w:sz w:val="24"/>
          <w:szCs w:val="24"/>
        </w:rPr>
        <w:t>payment method used for each sale.</w:t>
      </w:r>
    </w:p>
    <w:p w14:paraId="2FE0E22D" w14:textId="2C5B5479" w:rsidR="00607129" w:rsidRPr="00607129" w:rsidRDefault="00607129" w:rsidP="00607129">
      <w:pPr>
        <w:pStyle w:val="ListParagraph"/>
        <w:numPr>
          <w:ilvl w:val="0"/>
          <w:numId w:val="3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Retailer: </w:t>
      </w:r>
      <w:r>
        <w:rPr>
          <w:rFonts w:ascii="Times New Roman" w:hAnsi="Times New Roman" w:cs="Times New Roman"/>
          <w:sz w:val="24"/>
          <w:szCs w:val="24"/>
        </w:rPr>
        <w:t>The various retailers.</w:t>
      </w:r>
    </w:p>
    <w:p w14:paraId="29669BFA" w14:textId="016CD2BE" w:rsidR="00607129" w:rsidRPr="007A03D5" w:rsidRDefault="00607129" w:rsidP="00607129">
      <w:pPr>
        <w:pStyle w:val="ListParagraph"/>
        <w:numPr>
          <w:ilvl w:val="0"/>
          <w:numId w:val="3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Profits: </w:t>
      </w:r>
      <w:r w:rsidRPr="00607129">
        <w:rPr>
          <w:rFonts w:ascii="Times New Roman" w:hAnsi="Times New Roman" w:cs="Times New Roman"/>
          <w:sz w:val="24"/>
          <w:szCs w:val="24"/>
        </w:rPr>
        <w:t>The profits m</w:t>
      </w:r>
      <w:r>
        <w:rPr>
          <w:rFonts w:ascii="Times New Roman" w:hAnsi="Times New Roman" w:cs="Times New Roman"/>
          <w:sz w:val="24"/>
          <w:szCs w:val="24"/>
        </w:rPr>
        <w:t>a</w:t>
      </w:r>
      <w:r w:rsidRPr="00607129">
        <w:rPr>
          <w:rFonts w:ascii="Times New Roman" w:hAnsi="Times New Roman" w:cs="Times New Roman"/>
          <w:sz w:val="24"/>
          <w:szCs w:val="24"/>
        </w:rPr>
        <w:t>de from each sale</w:t>
      </w:r>
      <w:r>
        <w:rPr>
          <w:rFonts w:ascii="Times New Roman" w:hAnsi="Times New Roman" w:cs="Times New Roman"/>
          <w:sz w:val="24"/>
          <w:szCs w:val="24"/>
        </w:rPr>
        <w:t>.</w:t>
      </w:r>
    </w:p>
    <w:p w14:paraId="5F909731" w14:textId="33E19C42" w:rsidR="007A03D5" w:rsidRDefault="007A03D5" w:rsidP="007A03D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Data splitting </w:t>
      </w:r>
    </w:p>
    <w:p w14:paraId="7FE0EA38" w14:textId="24F3955E" w:rsidR="007A03D5" w:rsidRDefault="007A03D5" w:rsidP="007A03D5">
      <w:pPr>
        <w:spacing w:line="360" w:lineRule="auto"/>
        <w:jc w:val="both"/>
        <w:rPr>
          <w:rFonts w:ascii="Times New Roman" w:hAnsi="Times New Roman" w:cs="Times New Roman"/>
          <w:sz w:val="24"/>
          <w:szCs w:val="24"/>
        </w:rPr>
      </w:pPr>
      <w:r>
        <w:rPr>
          <w:rFonts w:ascii="Times New Roman" w:hAnsi="Times New Roman" w:cs="Times New Roman"/>
          <w:sz w:val="24"/>
          <w:szCs w:val="24"/>
        </w:rPr>
        <w:t>The columns were split into two categories-Independent and Dependent values</w:t>
      </w:r>
    </w:p>
    <w:p w14:paraId="76940D22" w14:textId="265EBC00" w:rsidR="007A03D5" w:rsidRPr="00B46A62" w:rsidRDefault="007A03D5" w:rsidP="007A03D5">
      <w:pPr>
        <w:pStyle w:val="ListParagraph"/>
        <w:numPr>
          <w:ilvl w:val="0"/>
          <w:numId w:val="33"/>
        </w:numPr>
        <w:spacing w:line="360" w:lineRule="auto"/>
        <w:jc w:val="both"/>
        <w:rPr>
          <w:rFonts w:ascii="Times New Roman" w:hAnsi="Times New Roman" w:cs="Times New Roman"/>
          <w:b/>
          <w:bCs/>
          <w:sz w:val="24"/>
          <w:szCs w:val="24"/>
        </w:rPr>
      </w:pPr>
      <w:r w:rsidRPr="00B46A62">
        <w:rPr>
          <w:rFonts w:ascii="Times New Roman" w:hAnsi="Times New Roman" w:cs="Times New Roman"/>
          <w:b/>
          <w:bCs/>
          <w:sz w:val="24"/>
          <w:szCs w:val="24"/>
        </w:rPr>
        <w:t>Category one-Independent values</w:t>
      </w:r>
      <w:r w:rsidR="00B46A62" w:rsidRPr="00B46A62">
        <w:rPr>
          <w:rFonts w:ascii="Times New Roman" w:hAnsi="Times New Roman" w:cs="Times New Roman"/>
          <w:b/>
          <w:bCs/>
          <w:sz w:val="24"/>
          <w:szCs w:val="24"/>
        </w:rPr>
        <w:t>:</w:t>
      </w:r>
      <w:r w:rsidR="00B46A62">
        <w:rPr>
          <w:rFonts w:ascii="Times New Roman" w:hAnsi="Times New Roman" w:cs="Times New Roman"/>
          <w:b/>
          <w:bCs/>
          <w:sz w:val="24"/>
          <w:szCs w:val="24"/>
        </w:rPr>
        <w:t xml:space="preserve"> </w:t>
      </w:r>
      <w:r w:rsidR="00B46A62">
        <w:rPr>
          <w:rFonts w:ascii="Times New Roman" w:hAnsi="Times New Roman" w:cs="Times New Roman"/>
          <w:sz w:val="24"/>
          <w:szCs w:val="24"/>
        </w:rPr>
        <w:tab/>
        <w:t>T</w:t>
      </w:r>
      <w:r w:rsidR="00B46A62" w:rsidRPr="00B46A62">
        <w:rPr>
          <w:rFonts w:ascii="Times New Roman" w:hAnsi="Times New Roman" w:cs="Times New Roman"/>
          <w:sz w:val="24"/>
          <w:szCs w:val="24"/>
        </w:rPr>
        <w:t>hese are data that do make sense on their own without depending on any data</w:t>
      </w:r>
      <w:r w:rsidR="00B46A62">
        <w:rPr>
          <w:rFonts w:ascii="Times New Roman" w:hAnsi="Times New Roman" w:cs="Times New Roman"/>
          <w:sz w:val="24"/>
          <w:szCs w:val="24"/>
        </w:rPr>
        <w:t xml:space="preserve">. They include </w:t>
      </w:r>
      <w:r w:rsidR="00607129">
        <w:rPr>
          <w:rFonts w:ascii="Times New Roman" w:hAnsi="Times New Roman" w:cs="Times New Roman"/>
          <w:sz w:val="24"/>
          <w:szCs w:val="24"/>
        </w:rPr>
        <w:t>p</w:t>
      </w:r>
      <w:r w:rsidR="00B46A62">
        <w:rPr>
          <w:rFonts w:ascii="Times New Roman" w:hAnsi="Times New Roman" w:cs="Times New Roman"/>
          <w:sz w:val="24"/>
          <w:szCs w:val="24"/>
        </w:rPr>
        <w:t xml:space="preserve">roduct name, </w:t>
      </w:r>
      <w:r w:rsidR="00607129">
        <w:rPr>
          <w:rFonts w:ascii="Times New Roman" w:hAnsi="Times New Roman" w:cs="Times New Roman"/>
          <w:sz w:val="24"/>
          <w:szCs w:val="24"/>
        </w:rPr>
        <w:t>r</w:t>
      </w:r>
      <w:r w:rsidR="00B46A62">
        <w:rPr>
          <w:rFonts w:ascii="Times New Roman" w:hAnsi="Times New Roman" w:cs="Times New Roman"/>
          <w:sz w:val="24"/>
          <w:szCs w:val="24"/>
        </w:rPr>
        <w:t>egion,</w:t>
      </w:r>
      <w:r w:rsidR="00607129">
        <w:rPr>
          <w:rFonts w:ascii="Times New Roman" w:hAnsi="Times New Roman" w:cs="Times New Roman"/>
          <w:sz w:val="24"/>
          <w:szCs w:val="24"/>
        </w:rPr>
        <w:t xml:space="preserve"> retailer store</w:t>
      </w:r>
      <w:r w:rsidR="00D71F0F">
        <w:rPr>
          <w:rFonts w:ascii="Times New Roman" w:hAnsi="Times New Roman" w:cs="Times New Roman"/>
          <w:sz w:val="24"/>
          <w:szCs w:val="24"/>
        </w:rPr>
        <w:t>,</w:t>
      </w:r>
      <w:r w:rsidR="00B46A62">
        <w:rPr>
          <w:rFonts w:ascii="Times New Roman" w:hAnsi="Times New Roman" w:cs="Times New Roman"/>
          <w:sz w:val="24"/>
          <w:szCs w:val="24"/>
        </w:rPr>
        <w:t xml:space="preserve"> </w:t>
      </w:r>
      <w:r w:rsidR="00607129">
        <w:rPr>
          <w:rFonts w:ascii="Times New Roman" w:hAnsi="Times New Roman" w:cs="Times New Roman"/>
          <w:sz w:val="24"/>
          <w:szCs w:val="24"/>
        </w:rPr>
        <w:t>date.</w:t>
      </w:r>
    </w:p>
    <w:p w14:paraId="6E8D1379" w14:textId="04352057" w:rsidR="00B46A62" w:rsidRPr="00B46A62" w:rsidRDefault="00B46A62" w:rsidP="007A03D5">
      <w:pPr>
        <w:pStyle w:val="ListParagraph"/>
        <w:numPr>
          <w:ilvl w:val="0"/>
          <w:numId w:val="3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Category two-dependent values:</w:t>
      </w:r>
      <w:r>
        <w:rPr>
          <w:rFonts w:ascii="Times New Roman" w:hAnsi="Times New Roman" w:cs="Times New Roman"/>
          <w:sz w:val="24"/>
          <w:szCs w:val="24"/>
        </w:rPr>
        <w:t xml:space="preserve"> These are values that do not make sense on their but depend on independent values to make sense. For </w:t>
      </w:r>
      <w:r w:rsidR="0062368E">
        <w:rPr>
          <w:rFonts w:ascii="Times New Roman" w:hAnsi="Times New Roman" w:cs="Times New Roman"/>
          <w:sz w:val="24"/>
          <w:szCs w:val="24"/>
        </w:rPr>
        <w:t>example,</w:t>
      </w:r>
      <w:r>
        <w:rPr>
          <w:rFonts w:ascii="Times New Roman" w:hAnsi="Times New Roman" w:cs="Times New Roman"/>
          <w:sz w:val="24"/>
          <w:szCs w:val="24"/>
        </w:rPr>
        <w:t xml:space="preserve"> revenue, unit price, </w:t>
      </w:r>
      <w:r w:rsidR="00D71F0F">
        <w:rPr>
          <w:rFonts w:ascii="Times New Roman" w:hAnsi="Times New Roman" w:cs="Times New Roman"/>
          <w:sz w:val="24"/>
          <w:szCs w:val="24"/>
        </w:rPr>
        <w:t>unit sold</w:t>
      </w:r>
      <w:r w:rsidR="00607129">
        <w:rPr>
          <w:rFonts w:ascii="Times New Roman" w:hAnsi="Times New Roman" w:cs="Times New Roman"/>
          <w:sz w:val="24"/>
          <w:szCs w:val="24"/>
        </w:rPr>
        <w:t>, profits.</w:t>
      </w:r>
    </w:p>
    <w:p w14:paraId="485A49BF" w14:textId="77777777" w:rsidR="002A11DB" w:rsidRPr="002A11DB" w:rsidRDefault="002A11DB" w:rsidP="002A11DB">
      <w:pPr>
        <w:spacing w:line="360" w:lineRule="auto"/>
        <w:jc w:val="both"/>
        <w:rPr>
          <w:rFonts w:ascii="Times New Roman" w:hAnsi="Times New Roman" w:cs="Times New Roman"/>
          <w:b/>
          <w:bCs/>
          <w:sz w:val="24"/>
          <w:szCs w:val="24"/>
        </w:rPr>
      </w:pPr>
    </w:p>
    <w:p w14:paraId="5236F49F" w14:textId="0C65EB72" w:rsidR="00352B87" w:rsidRPr="006C1C44" w:rsidRDefault="00B46A62" w:rsidP="006C1C4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PRE-ANALYSIS</w:t>
      </w:r>
    </w:p>
    <w:p w14:paraId="523E9B39" w14:textId="5DEB3DB0" w:rsidR="00EB17B6" w:rsidRDefault="00607129" w:rsidP="00607129">
      <w:pPr>
        <w:spacing w:line="360" w:lineRule="auto"/>
        <w:jc w:val="both"/>
        <w:rPr>
          <w:rFonts w:ascii="Times New Roman" w:hAnsi="Times New Roman" w:cs="Times New Roman"/>
          <w:sz w:val="24"/>
          <w:szCs w:val="24"/>
        </w:rPr>
      </w:pPr>
      <w:r w:rsidRPr="00607129">
        <w:rPr>
          <w:rFonts w:ascii="Times New Roman" w:hAnsi="Times New Roman" w:cs="Times New Roman"/>
          <w:sz w:val="24"/>
          <w:szCs w:val="24"/>
        </w:rPr>
        <w:t>This chapter includes my preliminary observations and insights before I did any statistical analysis.</w:t>
      </w:r>
    </w:p>
    <w:p w14:paraId="37EF9A37" w14:textId="4F0A4C1F" w:rsidR="00607129" w:rsidRDefault="00607129" w:rsidP="00607129">
      <w:pPr>
        <w:spacing w:line="360" w:lineRule="auto"/>
        <w:jc w:val="both"/>
        <w:rPr>
          <w:rFonts w:ascii="Times New Roman" w:hAnsi="Times New Roman" w:cs="Times New Roman"/>
          <w:b/>
          <w:bCs/>
          <w:sz w:val="24"/>
          <w:szCs w:val="24"/>
        </w:rPr>
      </w:pPr>
      <w:r w:rsidRPr="00607129">
        <w:rPr>
          <w:rFonts w:ascii="Times New Roman" w:hAnsi="Times New Roman" w:cs="Times New Roman"/>
          <w:b/>
          <w:bCs/>
          <w:sz w:val="24"/>
          <w:szCs w:val="24"/>
        </w:rPr>
        <w:t>Potential observations</w:t>
      </w:r>
    </w:p>
    <w:p w14:paraId="69A7E163" w14:textId="06D0C161" w:rsidR="00607129" w:rsidRPr="00607129" w:rsidRDefault="00607129" w:rsidP="00607129">
      <w:pPr>
        <w:pStyle w:val="ListParagraph"/>
        <w:numPr>
          <w:ilvl w:val="0"/>
          <w:numId w:val="4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Some states have more retail stores than others and tend to have higher sales in return.</w:t>
      </w:r>
    </w:p>
    <w:p w14:paraId="73E40F79" w14:textId="10CB90DD" w:rsidR="00607129" w:rsidRPr="00607129" w:rsidRDefault="00607129" w:rsidP="00607129">
      <w:pPr>
        <w:pStyle w:val="ListParagraph"/>
        <w:numPr>
          <w:ilvl w:val="0"/>
          <w:numId w:val="4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Certain products contributed to the overall revenue during this period indicating the products needs to be monitored closely.</w:t>
      </w:r>
    </w:p>
    <w:p w14:paraId="340CA414" w14:textId="04B030A1" w:rsidR="00607129" w:rsidRPr="00607129" w:rsidRDefault="00607129" w:rsidP="00607129">
      <w:pPr>
        <w:pStyle w:val="ListParagraph"/>
        <w:numPr>
          <w:ilvl w:val="0"/>
          <w:numId w:val="4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Certain products were purchased more indicating product preference.</w:t>
      </w:r>
    </w:p>
    <w:p w14:paraId="027057F9" w14:textId="1B15A3CC" w:rsidR="00607129" w:rsidRPr="00EB3BD1" w:rsidRDefault="00607129" w:rsidP="00607129">
      <w:pPr>
        <w:pStyle w:val="ListParagraph"/>
        <w:numPr>
          <w:ilvl w:val="0"/>
          <w:numId w:val="4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Certain regions have more states than the other and hence will have more sales.</w:t>
      </w:r>
    </w:p>
    <w:p w14:paraId="6DE24A20" w14:textId="3539BF6D" w:rsidR="00EB3BD1" w:rsidRPr="00607129" w:rsidRDefault="00EB3BD1" w:rsidP="00607129">
      <w:pPr>
        <w:pStyle w:val="ListParagraph"/>
        <w:numPr>
          <w:ilvl w:val="0"/>
          <w:numId w:val="4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Sales tends to increase in 2021.</w:t>
      </w:r>
    </w:p>
    <w:p w14:paraId="13CE1985" w14:textId="2A351195" w:rsidR="00034DDA" w:rsidRPr="00034DDA" w:rsidRDefault="00034DDA" w:rsidP="00607129">
      <w:pPr>
        <w:spacing w:line="360" w:lineRule="auto"/>
        <w:jc w:val="both"/>
        <w:rPr>
          <w:rFonts w:ascii="Times New Roman" w:hAnsi="Times New Roman" w:cs="Times New Roman"/>
          <w:b/>
          <w:bCs/>
          <w:sz w:val="24"/>
          <w:szCs w:val="24"/>
        </w:rPr>
      </w:pPr>
      <w:r w:rsidRPr="00034DDA">
        <w:rPr>
          <w:rFonts w:ascii="Times New Roman" w:hAnsi="Times New Roman" w:cs="Times New Roman"/>
          <w:b/>
          <w:bCs/>
          <w:sz w:val="24"/>
          <w:szCs w:val="24"/>
        </w:rPr>
        <w:t>Potential recommendations</w:t>
      </w:r>
    </w:p>
    <w:p w14:paraId="2D40EBE6" w14:textId="35BB3EDB" w:rsidR="00607129" w:rsidRPr="00034DDA" w:rsidRDefault="00607129" w:rsidP="00034DDA">
      <w:pPr>
        <w:pStyle w:val="ListParagraph"/>
        <w:numPr>
          <w:ilvl w:val="0"/>
          <w:numId w:val="4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Consider expansion to regions with lower sales to create </w:t>
      </w:r>
      <w:r w:rsidR="00EB3BD1">
        <w:rPr>
          <w:rFonts w:ascii="Times New Roman" w:hAnsi="Times New Roman" w:cs="Times New Roman"/>
          <w:sz w:val="24"/>
          <w:szCs w:val="24"/>
        </w:rPr>
        <w:t>more outlets and presence</w:t>
      </w:r>
    </w:p>
    <w:p w14:paraId="6E14664D" w14:textId="6DDA4859" w:rsidR="00034DDA" w:rsidRPr="00034DDA" w:rsidRDefault="00034DDA" w:rsidP="00034DDA">
      <w:pPr>
        <w:pStyle w:val="ListParagraph"/>
        <w:numPr>
          <w:ilvl w:val="0"/>
          <w:numId w:val="4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The region with most revenue generation should can be considered to house the sub-headquarters.</w:t>
      </w:r>
    </w:p>
    <w:p w14:paraId="7A62C736" w14:textId="7A26AA36" w:rsidR="00034DDA" w:rsidRPr="000C014C" w:rsidRDefault="00034DDA" w:rsidP="00034DDA">
      <w:pPr>
        <w:pStyle w:val="ListParagraph"/>
        <w:numPr>
          <w:ilvl w:val="0"/>
          <w:numId w:val="4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The products with the most purchase </w:t>
      </w:r>
      <w:r w:rsidR="000C014C">
        <w:rPr>
          <w:rFonts w:ascii="Times New Roman" w:hAnsi="Times New Roman" w:cs="Times New Roman"/>
          <w:sz w:val="24"/>
          <w:szCs w:val="24"/>
        </w:rPr>
        <w:t>indicate</w:t>
      </w:r>
      <w:r>
        <w:rPr>
          <w:rFonts w:ascii="Times New Roman" w:hAnsi="Times New Roman" w:cs="Times New Roman"/>
          <w:sz w:val="24"/>
          <w:szCs w:val="24"/>
        </w:rPr>
        <w:t xml:space="preserve"> </w:t>
      </w:r>
      <w:r w:rsidR="000C014C">
        <w:rPr>
          <w:rFonts w:ascii="Times New Roman" w:hAnsi="Times New Roman" w:cs="Times New Roman"/>
          <w:sz w:val="24"/>
          <w:szCs w:val="24"/>
        </w:rPr>
        <w:t>its high demand rate and should be stocked regularly so as not to lose customers due to unavailability of products.</w:t>
      </w:r>
    </w:p>
    <w:p w14:paraId="616A5F23" w14:textId="5CEA52F5" w:rsidR="000C014C" w:rsidRPr="000C014C" w:rsidRDefault="000C014C" w:rsidP="00034DDA">
      <w:pPr>
        <w:pStyle w:val="ListParagraph"/>
        <w:numPr>
          <w:ilvl w:val="0"/>
          <w:numId w:val="4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The products with lower purchase rate can be paired with higher purchased ones as complementary products or consider price reductions to encourage purchase.</w:t>
      </w:r>
    </w:p>
    <w:p w14:paraId="5DC6B77B" w14:textId="3CFAC1A6" w:rsidR="000C014C" w:rsidRPr="00EB3BD1" w:rsidRDefault="000C014C" w:rsidP="006C1C44">
      <w:pPr>
        <w:pStyle w:val="ListParagraph"/>
        <w:numPr>
          <w:ilvl w:val="0"/>
          <w:numId w:val="4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The products with more revenue generation stocking should be monitored carefully to ensure its constant availability. </w:t>
      </w:r>
    </w:p>
    <w:p w14:paraId="0FF2ACF0" w14:textId="77777777" w:rsidR="00EB3BD1" w:rsidRDefault="00EB3BD1" w:rsidP="006C1C44">
      <w:pPr>
        <w:spacing w:line="360" w:lineRule="auto"/>
        <w:jc w:val="both"/>
        <w:rPr>
          <w:rFonts w:ascii="Times New Roman" w:hAnsi="Times New Roman" w:cs="Times New Roman"/>
          <w:b/>
          <w:bCs/>
          <w:sz w:val="24"/>
          <w:szCs w:val="24"/>
        </w:rPr>
      </w:pPr>
    </w:p>
    <w:p w14:paraId="3938C68C" w14:textId="77777777" w:rsidR="00EB3BD1" w:rsidRDefault="00EB3BD1" w:rsidP="006C1C44">
      <w:pPr>
        <w:spacing w:line="360" w:lineRule="auto"/>
        <w:jc w:val="both"/>
        <w:rPr>
          <w:rFonts w:ascii="Times New Roman" w:hAnsi="Times New Roman" w:cs="Times New Roman"/>
          <w:b/>
          <w:bCs/>
          <w:sz w:val="24"/>
          <w:szCs w:val="24"/>
        </w:rPr>
      </w:pPr>
    </w:p>
    <w:p w14:paraId="0F6B8A87" w14:textId="77777777" w:rsidR="00EB3BD1" w:rsidRDefault="00EB3BD1" w:rsidP="006C1C44">
      <w:pPr>
        <w:spacing w:line="360" w:lineRule="auto"/>
        <w:jc w:val="both"/>
        <w:rPr>
          <w:rFonts w:ascii="Times New Roman" w:hAnsi="Times New Roman" w:cs="Times New Roman"/>
          <w:b/>
          <w:bCs/>
          <w:sz w:val="24"/>
          <w:szCs w:val="24"/>
        </w:rPr>
      </w:pPr>
    </w:p>
    <w:p w14:paraId="27CC0CF1" w14:textId="5225CE63" w:rsidR="00352B87" w:rsidRPr="00D71F0F" w:rsidRDefault="006C1C44" w:rsidP="006C1C44">
      <w:pPr>
        <w:spacing w:line="360" w:lineRule="auto"/>
        <w:jc w:val="both"/>
        <w:rPr>
          <w:rFonts w:ascii="Times New Roman" w:hAnsi="Times New Roman" w:cs="Times New Roman"/>
          <w:b/>
          <w:bCs/>
          <w:sz w:val="24"/>
          <w:szCs w:val="24"/>
        </w:rPr>
      </w:pPr>
      <w:r w:rsidRPr="00D71F0F">
        <w:rPr>
          <w:rFonts w:ascii="Times New Roman" w:hAnsi="Times New Roman" w:cs="Times New Roman"/>
          <w:b/>
          <w:bCs/>
          <w:sz w:val="24"/>
          <w:szCs w:val="24"/>
        </w:rPr>
        <w:lastRenderedPageBreak/>
        <w:t>IN-ANALYSIS OBSERVATIONS</w:t>
      </w:r>
    </w:p>
    <w:p w14:paraId="5FFECE9B" w14:textId="6BB43345" w:rsidR="00D850ED" w:rsidRDefault="00EB3BD1" w:rsidP="006C1C4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Top products by sales</w:t>
      </w:r>
    </w:p>
    <w:p w14:paraId="1A1296CA" w14:textId="413AAC54" w:rsidR="00D850ED" w:rsidRDefault="00EB3BD1" w:rsidP="006C1C44">
      <w:pPr>
        <w:spacing w:line="360" w:lineRule="auto"/>
        <w:jc w:val="both"/>
        <w:rPr>
          <w:rFonts w:ascii="Times New Roman" w:hAnsi="Times New Roman" w:cs="Times New Roman"/>
          <w:b/>
          <w:bCs/>
          <w:sz w:val="24"/>
          <w:szCs w:val="24"/>
        </w:rPr>
      </w:pPr>
      <w:r>
        <w:rPr>
          <w:noProof/>
        </w:rPr>
        <w:drawing>
          <wp:inline distT="0" distB="0" distL="0" distR="0" wp14:anchorId="02F1DFC5" wp14:editId="4BBF13F6">
            <wp:extent cx="5657850" cy="2235200"/>
            <wp:effectExtent l="0" t="0" r="0" b="12700"/>
            <wp:docPr id="1664245054" name="Chart 1">
              <a:extLst xmlns:a="http://schemas.openxmlformats.org/drawingml/2006/main">
                <a:ext uri="{FF2B5EF4-FFF2-40B4-BE49-F238E27FC236}">
                  <a16:creationId xmlns:a16="http://schemas.microsoft.com/office/drawing/2014/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94D78D4" w14:textId="4F14CCC2" w:rsidR="00EB3BD1" w:rsidRPr="00D10E10" w:rsidRDefault="00EB3BD1" w:rsidP="00EB3BD1">
      <w:pPr>
        <w:pStyle w:val="ListParagraph"/>
        <w:numPr>
          <w:ilvl w:val="0"/>
          <w:numId w:val="50"/>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Men’s street</w:t>
      </w:r>
      <w:r w:rsidR="00237CFD">
        <w:rPr>
          <w:rFonts w:ascii="Times New Roman" w:hAnsi="Times New Roman" w:cs="Times New Roman"/>
          <w:sz w:val="24"/>
          <w:szCs w:val="24"/>
        </w:rPr>
        <w:t xml:space="preserve"> footwear generat</w:t>
      </w:r>
      <w:r w:rsidR="0064392A">
        <w:rPr>
          <w:rFonts w:ascii="Times New Roman" w:hAnsi="Times New Roman" w:cs="Times New Roman"/>
          <w:sz w:val="24"/>
          <w:szCs w:val="24"/>
        </w:rPr>
        <w:t xml:space="preserve">ed a total of $208.8m </w:t>
      </w:r>
      <w:r w:rsidR="00D10E10">
        <w:rPr>
          <w:rFonts w:ascii="Times New Roman" w:hAnsi="Times New Roman" w:cs="Times New Roman"/>
          <w:sz w:val="24"/>
          <w:szCs w:val="24"/>
        </w:rPr>
        <w:t>in sales making it the top performing product</w:t>
      </w:r>
    </w:p>
    <w:p w14:paraId="5668F2D3" w14:textId="5EB53D41" w:rsidR="00D10E10" w:rsidRPr="000F1E46" w:rsidRDefault="00D10E10" w:rsidP="00EB3BD1">
      <w:pPr>
        <w:pStyle w:val="ListParagraph"/>
        <w:numPr>
          <w:ilvl w:val="0"/>
          <w:numId w:val="50"/>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Women’s apparel followed with $179m</w:t>
      </w:r>
      <w:r w:rsidR="000F1E46">
        <w:rPr>
          <w:rFonts w:ascii="Times New Roman" w:hAnsi="Times New Roman" w:cs="Times New Roman"/>
          <w:sz w:val="24"/>
          <w:szCs w:val="24"/>
        </w:rPr>
        <w:t>. Men’ athletic footwear generated $153.7m taking the 3</w:t>
      </w:r>
      <w:r w:rsidR="000F1E46" w:rsidRPr="000F1E46">
        <w:rPr>
          <w:rFonts w:ascii="Times New Roman" w:hAnsi="Times New Roman" w:cs="Times New Roman"/>
          <w:sz w:val="24"/>
          <w:szCs w:val="24"/>
          <w:vertAlign w:val="superscript"/>
        </w:rPr>
        <w:t>rd</w:t>
      </w:r>
      <w:r w:rsidR="000F1E46">
        <w:rPr>
          <w:rFonts w:ascii="Times New Roman" w:hAnsi="Times New Roman" w:cs="Times New Roman"/>
          <w:sz w:val="24"/>
          <w:szCs w:val="24"/>
        </w:rPr>
        <w:t xml:space="preserve"> spot.</w:t>
      </w:r>
    </w:p>
    <w:p w14:paraId="7AED69FB" w14:textId="6FBF011A" w:rsidR="000F1E46" w:rsidRPr="00EB3BD1" w:rsidRDefault="000F1E46" w:rsidP="00EB3BD1">
      <w:pPr>
        <w:pStyle w:val="ListParagraph"/>
        <w:numPr>
          <w:ilvl w:val="0"/>
          <w:numId w:val="50"/>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Women’s street footwear, Men’s apparel and women’s athletic footwear generated $128m, $123.7m and $106.6m respectively.</w:t>
      </w:r>
    </w:p>
    <w:p w14:paraId="19B8DDD5" w14:textId="190C560A" w:rsidR="00305D08" w:rsidRDefault="00305D08" w:rsidP="006C1C4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Recommendations</w:t>
      </w:r>
    </w:p>
    <w:p w14:paraId="561C9160" w14:textId="77777777" w:rsidR="002627C3" w:rsidRPr="002627C3" w:rsidRDefault="002627C3" w:rsidP="002627C3">
      <w:pPr>
        <w:pStyle w:val="ListParagraph"/>
        <w:numPr>
          <w:ilvl w:val="0"/>
          <w:numId w:val="56"/>
        </w:numPr>
        <w:spacing w:line="360" w:lineRule="auto"/>
        <w:jc w:val="both"/>
        <w:rPr>
          <w:rFonts w:ascii="Times New Roman" w:hAnsi="Times New Roman" w:cs="Times New Roman"/>
          <w:b/>
          <w:bCs/>
          <w:sz w:val="24"/>
          <w:szCs w:val="24"/>
        </w:rPr>
      </w:pPr>
      <w:r w:rsidRPr="002627C3">
        <w:rPr>
          <w:rFonts w:ascii="Times New Roman" w:hAnsi="Times New Roman" w:cs="Times New Roman"/>
          <w:sz w:val="24"/>
          <w:szCs w:val="24"/>
        </w:rPr>
        <w:t>These high-revenue products should be prioritized for stock replenishment, marketing, and trend analysis.</w:t>
      </w:r>
    </w:p>
    <w:p w14:paraId="70363B3D" w14:textId="045543F4" w:rsidR="002C020D" w:rsidRPr="002627C3" w:rsidRDefault="00D850ED" w:rsidP="002627C3">
      <w:pPr>
        <w:spacing w:line="360" w:lineRule="auto"/>
        <w:jc w:val="both"/>
        <w:rPr>
          <w:rFonts w:ascii="Times New Roman" w:hAnsi="Times New Roman" w:cs="Times New Roman"/>
          <w:b/>
          <w:bCs/>
          <w:sz w:val="24"/>
          <w:szCs w:val="24"/>
        </w:rPr>
      </w:pPr>
      <w:r w:rsidRPr="002627C3">
        <w:rPr>
          <w:rFonts w:ascii="Times New Roman" w:hAnsi="Times New Roman" w:cs="Times New Roman"/>
          <w:b/>
          <w:bCs/>
          <w:sz w:val="24"/>
          <w:szCs w:val="24"/>
        </w:rPr>
        <w:t>Sales trends</w:t>
      </w:r>
    </w:p>
    <w:p w14:paraId="67A9128B" w14:textId="4EFA0AC1" w:rsidR="00D850ED" w:rsidRPr="006C1C44" w:rsidRDefault="00C07950" w:rsidP="006C1C44">
      <w:pPr>
        <w:spacing w:line="360" w:lineRule="auto"/>
        <w:jc w:val="both"/>
        <w:rPr>
          <w:rFonts w:ascii="Times New Roman" w:hAnsi="Times New Roman" w:cs="Times New Roman"/>
          <w:b/>
          <w:bCs/>
          <w:sz w:val="24"/>
          <w:szCs w:val="24"/>
        </w:rPr>
      </w:pPr>
      <w:r>
        <w:rPr>
          <w:noProof/>
        </w:rPr>
        <w:drawing>
          <wp:inline distT="0" distB="0" distL="0" distR="0" wp14:anchorId="697B71C4" wp14:editId="3E49AEB3">
            <wp:extent cx="5413375" cy="1976120"/>
            <wp:effectExtent l="0" t="0" r="15875" b="5080"/>
            <wp:docPr id="802551218" name="Chart 1">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AA6D53" w14:textId="6590FEF8" w:rsidR="00D850ED" w:rsidRDefault="00C07950" w:rsidP="00D850E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2020</w:t>
      </w:r>
      <w:r w:rsidR="00AB1EBA">
        <w:rPr>
          <w:rFonts w:ascii="Times New Roman" w:hAnsi="Times New Roman" w:cs="Times New Roman"/>
          <w:sz w:val="24"/>
          <w:szCs w:val="24"/>
        </w:rPr>
        <w:t>,</w:t>
      </w:r>
      <w:r>
        <w:rPr>
          <w:rFonts w:ascii="Times New Roman" w:hAnsi="Times New Roman" w:cs="Times New Roman"/>
          <w:sz w:val="24"/>
          <w:szCs w:val="24"/>
        </w:rPr>
        <w:t xml:space="preserve"> Q1 </w:t>
      </w:r>
      <w:r w:rsidR="00AB1EBA">
        <w:rPr>
          <w:rFonts w:ascii="Times New Roman" w:hAnsi="Times New Roman" w:cs="Times New Roman"/>
          <w:sz w:val="24"/>
          <w:szCs w:val="24"/>
        </w:rPr>
        <w:t>made</w:t>
      </w:r>
      <w:r>
        <w:rPr>
          <w:rFonts w:ascii="Times New Roman" w:hAnsi="Times New Roman" w:cs="Times New Roman"/>
          <w:sz w:val="24"/>
          <w:szCs w:val="24"/>
        </w:rPr>
        <w:t xml:space="preserve"> $48.9m</w:t>
      </w:r>
      <w:r w:rsidR="00AB1EBA">
        <w:rPr>
          <w:rFonts w:ascii="Times New Roman" w:hAnsi="Times New Roman" w:cs="Times New Roman"/>
          <w:sz w:val="24"/>
          <w:szCs w:val="24"/>
        </w:rPr>
        <w:t xml:space="preserve"> in sales</w:t>
      </w:r>
      <w:r>
        <w:rPr>
          <w:rFonts w:ascii="Times New Roman" w:hAnsi="Times New Roman" w:cs="Times New Roman"/>
          <w:sz w:val="24"/>
          <w:szCs w:val="24"/>
        </w:rPr>
        <w:t>,</w:t>
      </w:r>
      <w:r w:rsidR="00AB1EBA">
        <w:rPr>
          <w:rFonts w:ascii="Times New Roman" w:hAnsi="Times New Roman" w:cs="Times New Roman"/>
          <w:sz w:val="24"/>
          <w:szCs w:val="24"/>
        </w:rPr>
        <w:t xml:space="preserve"> which</w:t>
      </w:r>
      <w:r>
        <w:rPr>
          <w:rFonts w:ascii="Times New Roman" w:hAnsi="Times New Roman" w:cs="Times New Roman"/>
          <w:sz w:val="24"/>
          <w:szCs w:val="24"/>
        </w:rPr>
        <w:t xml:space="preserve"> increased to </w:t>
      </w:r>
      <w:r w:rsidR="00AB1EBA">
        <w:rPr>
          <w:rFonts w:ascii="Times New Roman" w:hAnsi="Times New Roman" w:cs="Times New Roman"/>
          <w:sz w:val="24"/>
          <w:szCs w:val="24"/>
        </w:rPr>
        <w:t>$50.4m in Q2. Q3 made $55.3m and dropped to $27.5m in Q4.</w:t>
      </w:r>
    </w:p>
    <w:p w14:paraId="35C66083" w14:textId="1AFD40AF" w:rsidR="00AB1EBA" w:rsidRPr="00D850ED" w:rsidRDefault="00AB1EBA" w:rsidP="00D850ED">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In 2021, Sales skyrocketed to $140.5m in Q1 and another increase to $177.2m in Q2. It the increased to $210m in Q3 and then dropped to $190.1m</w:t>
      </w:r>
    </w:p>
    <w:p w14:paraId="52B76731" w14:textId="3CB96227" w:rsidR="00D850ED" w:rsidRDefault="00B4011C" w:rsidP="006C1C4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Recommendation</w:t>
      </w:r>
    </w:p>
    <w:p w14:paraId="4D779BE7" w14:textId="21C762C8" w:rsidR="00187A9F" w:rsidRPr="00AB1EBA" w:rsidRDefault="00AB1EBA" w:rsidP="006C1C44">
      <w:pPr>
        <w:pStyle w:val="ListParagraph"/>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Observe the reasons for sales drop in Q4 and implement strategies to improve sales in the coming year.</w:t>
      </w:r>
    </w:p>
    <w:p w14:paraId="4656A7A3" w14:textId="0FA06883" w:rsidR="005B06E7" w:rsidRDefault="00AB1EBA" w:rsidP="006C1C4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Sales</w:t>
      </w:r>
      <w:r w:rsidR="005B06E7" w:rsidRPr="006C1C44">
        <w:rPr>
          <w:rFonts w:ascii="Times New Roman" w:hAnsi="Times New Roman" w:cs="Times New Roman"/>
          <w:b/>
          <w:bCs/>
          <w:sz w:val="24"/>
          <w:szCs w:val="24"/>
        </w:rPr>
        <w:t xml:space="preserve"> by region</w:t>
      </w:r>
    </w:p>
    <w:p w14:paraId="318EFB8A" w14:textId="48E9BAE2" w:rsidR="00F94960" w:rsidRDefault="00AE65EC" w:rsidP="006C1C44">
      <w:pPr>
        <w:spacing w:line="360" w:lineRule="auto"/>
        <w:jc w:val="both"/>
        <w:rPr>
          <w:rFonts w:ascii="Times New Roman" w:hAnsi="Times New Roman" w:cs="Times New Roman"/>
          <w:b/>
          <w:bCs/>
          <w:sz w:val="24"/>
          <w:szCs w:val="24"/>
        </w:rPr>
      </w:pPr>
      <w:r>
        <w:rPr>
          <w:noProof/>
        </w:rPr>
        <w:drawing>
          <wp:inline distT="0" distB="0" distL="0" distR="0" wp14:anchorId="49B33F4D" wp14:editId="178FDE69">
            <wp:extent cx="5153025" cy="2724150"/>
            <wp:effectExtent l="0" t="0" r="9525" b="0"/>
            <wp:docPr id="1411112732" name="Chart 1">
              <a:extLst xmlns:a="http://schemas.openxmlformats.org/drawingml/2006/main">
                <a:ext uri="{FF2B5EF4-FFF2-40B4-BE49-F238E27FC236}">
                  <a16:creationId xmlns:a16="http://schemas.microsoft.com/office/drawing/2014/main" id="{00000000-0008-0000-06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8BB1583" w14:textId="15D13BA9" w:rsidR="00122F3F" w:rsidRPr="007E7686" w:rsidRDefault="00AE65EC">
      <w:pPr>
        <w:pStyle w:val="ListParagraph"/>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West region generated the most </w:t>
      </w:r>
      <w:r w:rsidR="007E7686">
        <w:rPr>
          <w:rFonts w:ascii="Times New Roman" w:hAnsi="Times New Roman" w:cs="Times New Roman"/>
          <w:sz w:val="24"/>
          <w:szCs w:val="24"/>
        </w:rPr>
        <w:t>revenue from sales with a total of $269.9m making it the best performing region.</w:t>
      </w:r>
    </w:p>
    <w:p w14:paraId="36C38AE6" w14:textId="16EA8CCD" w:rsidR="007E7686" w:rsidRPr="00122F3F" w:rsidRDefault="007E7686">
      <w:pPr>
        <w:pStyle w:val="ListParagraph"/>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The northeastern region generated $186.3m taking the second spot</w:t>
      </w:r>
    </w:p>
    <w:p w14:paraId="24A34B1A" w14:textId="163D91AE" w:rsidR="002E021A" w:rsidRPr="002E021A" w:rsidRDefault="007E7686" w:rsidP="002E021A">
      <w:pPr>
        <w:pStyle w:val="ListParagraph"/>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Southeast, Southern, and the Midwestern region had a total of </w:t>
      </w:r>
      <w:r>
        <w:rPr>
          <w:rFonts w:ascii="Times New Roman" w:hAnsi="Times New Roman" w:cs="Times New Roman"/>
          <w:sz w:val="24"/>
          <w:szCs w:val="24"/>
        </w:rPr>
        <w:t>$</w:t>
      </w:r>
      <w:r>
        <w:rPr>
          <w:rFonts w:ascii="Times New Roman" w:hAnsi="Times New Roman" w:cs="Times New Roman"/>
          <w:sz w:val="24"/>
          <w:szCs w:val="24"/>
        </w:rPr>
        <w:t>163.2m,</w:t>
      </w:r>
      <w:r w:rsidRPr="007E7686">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144.7m and </w:t>
      </w:r>
      <w:r>
        <w:rPr>
          <w:rFonts w:ascii="Times New Roman" w:hAnsi="Times New Roman" w:cs="Times New Roman"/>
          <w:sz w:val="24"/>
          <w:szCs w:val="24"/>
        </w:rPr>
        <w:t>$</w:t>
      </w:r>
      <w:r>
        <w:rPr>
          <w:rFonts w:ascii="Times New Roman" w:hAnsi="Times New Roman" w:cs="Times New Roman"/>
          <w:sz w:val="24"/>
          <w:szCs w:val="24"/>
        </w:rPr>
        <w:t>135.8m respectively.</w:t>
      </w:r>
    </w:p>
    <w:p w14:paraId="532F8D44" w14:textId="3784B25B" w:rsidR="00B4011C" w:rsidRPr="002E021A" w:rsidRDefault="00B4011C" w:rsidP="002E021A">
      <w:pPr>
        <w:spacing w:line="360" w:lineRule="auto"/>
        <w:jc w:val="both"/>
        <w:rPr>
          <w:rFonts w:ascii="Times New Roman" w:hAnsi="Times New Roman" w:cs="Times New Roman"/>
          <w:b/>
          <w:bCs/>
          <w:sz w:val="24"/>
          <w:szCs w:val="24"/>
        </w:rPr>
      </w:pPr>
      <w:r w:rsidRPr="002E021A">
        <w:rPr>
          <w:rFonts w:ascii="Times New Roman" w:hAnsi="Times New Roman" w:cs="Times New Roman"/>
          <w:b/>
          <w:bCs/>
          <w:sz w:val="24"/>
          <w:szCs w:val="24"/>
        </w:rPr>
        <w:t xml:space="preserve">Recommendations </w:t>
      </w:r>
    </w:p>
    <w:p w14:paraId="3E41CA56" w14:textId="6B653D51" w:rsidR="00B4011C" w:rsidRPr="007E7686" w:rsidRDefault="007E7686" w:rsidP="00B4011C">
      <w:pPr>
        <w:pStyle w:val="ListParagraph"/>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The western region looking like a perfect location for targeted promotions.</w:t>
      </w:r>
    </w:p>
    <w:p w14:paraId="68DF7742" w14:textId="434ABF9E" w:rsidR="007E7686" w:rsidRPr="00B4011C" w:rsidRDefault="007E7686" w:rsidP="00B4011C">
      <w:pPr>
        <w:pStyle w:val="ListParagraph"/>
        <w:numPr>
          <w:ilvl w:val="0"/>
          <w:numId w:val="1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Regions with lesser sales can be due to lesser stores an advertisement can be recommended.</w:t>
      </w:r>
    </w:p>
    <w:p w14:paraId="41CDB082" w14:textId="77777777" w:rsidR="007E7686" w:rsidRDefault="007E7686" w:rsidP="006C1C44">
      <w:pPr>
        <w:spacing w:line="360" w:lineRule="auto"/>
        <w:jc w:val="both"/>
        <w:rPr>
          <w:rFonts w:ascii="Times New Roman" w:hAnsi="Times New Roman" w:cs="Times New Roman"/>
          <w:b/>
          <w:bCs/>
          <w:sz w:val="24"/>
          <w:szCs w:val="24"/>
        </w:rPr>
      </w:pPr>
    </w:p>
    <w:p w14:paraId="7F744DB8" w14:textId="4B96A37F" w:rsidR="00F94960" w:rsidRPr="006C1C44" w:rsidRDefault="007E7686" w:rsidP="006C1C44">
      <w:pPr>
        <w:spacing w:line="360" w:lineRule="auto"/>
        <w:jc w:val="both"/>
        <w:rPr>
          <w:rFonts w:ascii="Times New Roman" w:hAnsi="Times New Roman" w:cs="Times New Roman"/>
          <w:b/>
          <w:bCs/>
          <w:sz w:val="24"/>
          <w:szCs w:val="24"/>
        </w:rPr>
      </w:pPr>
      <w:r w:rsidRPr="00F94960">
        <w:rPr>
          <w:rFonts w:ascii="Times New Roman" w:hAnsi="Times New Roman" w:cs="Times New Roman"/>
          <w:b/>
          <w:bCs/>
          <w:noProof/>
          <w:sz w:val="24"/>
          <w:szCs w:val="24"/>
        </w:rPr>
        <w:lastRenderedPageBreak/>
        <mc:AlternateContent>
          <mc:Choice Requires="wps">
            <w:drawing>
              <wp:anchor distT="45720" distB="45720" distL="114300" distR="114300" simplePos="0" relativeHeight="251664384" behindDoc="0" locked="0" layoutInCell="1" allowOverlap="1" wp14:anchorId="64237A79" wp14:editId="37D04292">
                <wp:simplePos x="0" y="0"/>
                <wp:positionH relativeFrom="column">
                  <wp:posOffset>133350</wp:posOffset>
                </wp:positionH>
                <wp:positionV relativeFrom="paragraph">
                  <wp:posOffset>371475</wp:posOffset>
                </wp:positionV>
                <wp:extent cx="5657850" cy="2276475"/>
                <wp:effectExtent l="0" t="0" r="19050" b="28575"/>
                <wp:wrapTopAndBottom/>
                <wp:docPr id="7479119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2276475"/>
                        </a:xfrm>
                        <a:prstGeom prst="rect">
                          <a:avLst/>
                        </a:prstGeom>
                        <a:solidFill>
                          <a:srgbClr val="FFFFFF"/>
                        </a:solidFill>
                        <a:ln w="9525">
                          <a:solidFill>
                            <a:srgbClr val="000000"/>
                          </a:solidFill>
                          <a:miter lim="800000"/>
                          <a:headEnd/>
                          <a:tailEnd/>
                        </a:ln>
                      </wps:spPr>
                      <wps:txbx>
                        <w:txbxContent>
                          <w:p w14:paraId="7FAAACD4" w14:textId="5F192220" w:rsidR="00F94960" w:rsidRDefault="007E7686">
                            <w:r>
                              <w:rPr>
                                <w:noProof/>
                              </w:rPr>
                              <w:drawing>
                                <wp:inline distT="0" distB="0" distL="0" distR="0" wp14:anchorId="623F1C03" wp14:editId="5E564C54">
                                  <wp:extent cx="5438775" cy="2143125"/>
                                  <wp:effectExtent l="0" t="0" r="9525" b="9525"/>
                                  <wp:docPr id="1248506195" name="Chart 1">
                                    <a:extLst xmlns:a="http://schemas.openxmlformats.org/drawingml/2006/main">
                                      <a:ext uri="{FF2B5EF4-FFF2-40B4-BE49-F238E27FC236}">
                                        <a16:creationId xmlns:a16="http://schemas.microsoft.com/office/drawing/2014/main"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237A79" id="_x0000_t202" coordsize="21600,21600" o:spt="202" path="m,l,21600r21600,l21600,xe">
                <v:stroke joinstyle="miter"/>
                <v:path gradientshapeok="t" o:connecttype="rect"/>
              </v:shapetype>
              <v:shape id="Text Box 2" o:spid="_x0000_s1026" type="#_x0000_t202" style="position:absolute;left:0;text-align:left;margin-left:10.5pt;margin-top:29.25pt;width:445.5pt;height:179.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">
                <v:textbox>
                  <w:txbxContent>
                    <w:p w14:paraId="7FAAACD4" w14:textId="5F192220" w:rsidR="00F94960" w:rsidRDefault="007E7686">
                      <w:r>
                        <w:rPr>
                          <w:noProof/>
                        </w:rPr>
                        <w:drawing>
                          <wp:inline distT="0" distB="0" distL="0" distR="0" wp14:anchorId="623F1C03" wp14:editId="5E564C54">
                            <wp:extent cx="5438775" cy="2143125"/>
                            <wp:effectExtent l="0" t="0" r="9525" b="9525"/>
                            <wp:docPr id="1248506195" name="Chart 1">
                              <a:extLst xmlns:a="http://schemas.openxmlformats.org/drawingml/2006/main">
                                <a:ext uri="{FF2B5EF4-FFF2-40B4-BE49-F238E27FC236}">
                                  <a16:creationId xmlns:a16="http://schemas.microsoft.com/office/drawing/2014/main"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v:textbox>
                <w10:wrap type="topAndBottom"/>
              </v:shape>
            </w:pict>
          </mc:Fallback>
        </mc:AlternateContent>
      </w:r>
      <w:r>
        <w:rPr>
          <w:rFonts w:ascii="Times New Roman" w:hAnsi="Times New Roman" w:cs="Times New Roman"/>
          <w:b/>
          <w:bCs/>
          <w:sz w:val="24"/>
          <w:szCs w:val="24"/>
        </w:rPr>
        <w:t>Sales by state</w:t>
      </w:r>
    </w:p>
    <w:p w14:paraId="3FD0B6FA" w14:textId="553B1775" w:rsidR="00AF3C6C" w:rsidRDefault="007E7686" w:rsidP="006C1C4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New York had the highest sales with $64.2m toping the best performing states.</w:t>
      </w:r>
    </w:p>
    <w:p w14:paraId="2B54D30C" w14:textId="05F694DF" w:rsidR="007E7686" w:rsidRDefault="007E7686" w:rsidP="006C1C4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California had a total of $60.2m and Florida had $59.3m taking the 2</w:t>
      </w:r>
      <w:r w:rsidRPr="007E7686">
        <w:rPr>
          <w:rFonts w:ascii="Times New Roman" w:hAnsi="Times New Roman" w:cs="Times New Roman"/>
          <w:sz w:val="24"/>
          <w:szCs w:val="24"/>
          <w:vertAlign w:val="superscript"/>
        </w:rPr>
        <w:t>nd</w:t>
      </w:r>
      <w:r>
        <w:rPr>
          <w:rFonts w:ascii="Times New Roman" w:hAnsi="Times New Roman" w:cs="Times New Roman"/>
          <w:sz w:val="24"/>
          <w:szCs w:val="24"/>
        </w:rPr>
        <w:t xml:space="preserve"> and 3</w:t>
      </w:r>
      <w:r w:rsidRPr="007E7686">
        <w:rPr>
          <w:rFonts w:ascii="Times New Roman" w:hAnsi="Times New Roman" w:cs="Times New Roman"/>
          <w:sz w:val="24"/>
          <w:szCs w:val="24"/>
          <w:vertAlign w:val="superscript"/>
        </w:rPr>
        <w:t>rd</w:t>
      </w:r>
      <w:r>
        <w:rPr>
          <w:rFonts w:ascii="Times New Roman" w:hAnsi="Times New Roman" w:cs="Times New Roman"/>
          <w:sz w:val="24"/>
          <w:szCs w:val="24"/>
        </w:rPr>
        <w:t xml:space="preserve"> spot respectively.</w:t>
      </w:r>
    </w:p>
    <w:p w14:paraId="245381E1" w14:textId="042707E2" w:rsidR="007E7686" w:rsidRPr="006C1C44" w:rsidRDefault="00DF0AE5" w:rsidP="006C1C4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Texas and South Carolina had a lesser sale of $46.4m and $29.3m respectively amongst the top 5 best performing states.</w:t>
      </w:r>
    </w:p>
    <w:p w14:paraId="08C54C69" w14:textId="77777777" w:rsidR="00305D08" w:rsidRDefault="00305D08" w:rsidP="006C1C4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Recommendations</w:t>
      </w:r>
    </w:p>
    <w:p w14:paraId="53007E38" w14:textId="77777777" w:rsidR="002627C3" w:rsidRPr="002627C3" w:rsidRDefault="002627C3" w:rsidP="002627C3">
      <w:pPr>
        <w:pStyle w:val="ListParagraph"/>
        <w:numPr>
          <w:ilvl w:val="0"/>
          <w:numId w:val="57"/>
        </w:numPr>
        <w:spacing w:line="360" w:lineRule="auto"/>
        <w:jc w:val="both"/>
        <w:rPr>
          <w:rFonts w:ascii="Times New Roman" w:hAnsi="Times New Roman" w:cs="Times New Roman"/>
          <w:sz w:val="24"/>
          <w:szCs w:val="24"/>
        </w:rPr>
      </w:pPr>
      <w:r w:rsidRPr="002627C3">
        <w:rPr>
          <w:rFonts w:ascii="Times New Roman" w:hAnsi="Times New Roman" w:cs="Times New Roman"/>
          <w:sz w:val="24"/>
          <w:szCs w:val="24"/>
        </w:rPr>
        <w:t>Focus state-level promotions in New York, California, and Florida. These states have proven strong demand and should remain inventory and logistics priorities.</w:t>
      </w:r>
    </w:p>
    <w:p w14:paraId="3081EAEC" w14:textId="77777777" w:rsidR="002627C3" w:rsidRDefault="002627C3" w:rsidP="00DF0AE5">
      <w:pPr>
        <w:spacing w:line="360" w:lineRule="auto"/>
        <w:jc w:val="both"/>
        <w:rPr>
          <w:rFonts w:ascii="Times New Roman" w:hAnsi="Times New Roman" w:cs="Times New Roman"/>
          <w:b/>
          <w:bCs/>
          <w:sz w:val="24"/>
          <w:szCs w:val="24"/>
        </w:rPr>
      </w:pPr>
    </w:p>
    <w:p w14:paraId="3543BFBC" w14:textId="77777777" w:rsidR="002627C3" w:rsidRDefault="002627C3" w:rsidP="00DF0AE5">
      <w:pPr>
        <w:spacing w:line="360" w:lineRule="auto"/>
        <w:jc w:val="both"/>
        <w:rPr>
          <w:rFonts w:ascii="Times New Roman" w:hAnsi="Times New Roman" w:cs="Times New Roman"/>
          <w:b/>
          <w:bCs/>
          <w:sz w:val="24"/>
          <w:szCs w:val="24"/>
        </w:rPr>
      </w:pPr>
    </w:p>
    <w:p w14:paraId="686FFC9C" w14:textId="77777777" w:rsidR="002627C3" w:rsidRDefault="002627C3" w:rsidP="00DF0AE5">
      <w:pPr>
        <w:spacing w:line="360" w:lineRule="auto"/>
        <w:jc w:val="both"/>
        <w:rPr>
          <w:rFonts w:ascii="Times New Roman" w:hAnsi="Times New Roman" w:cs="Times New Roman"/>
          <w:b/>
          <w:bCs/>
          <w:sz w:val="24"/>
          <w:szCs w:val="24"/>
        </w:rPr>
      </w:pPr>
    </w:p>
    <w:p w14:paraId="0C95ED76" w14:textId="77777777" w:rsidR="002627C3" w:rsidRDefault="002627C3" w:rsidP="00DF0AE5">
      <w:pPr>
        <w:spacing w:line="360" w:lineRule="auto"/>
        <w:jc w:val="both"/>
        <w:rPr>
          <w:rFonts w:ascii="Times New Roman" w:hAnsi="Times New Roman" w:cs="Times New Roman"/>
          <w:b/>
          <w:bCs/>
          <w:sz w:val="24"/>
          <w:szCs w:val="24"/>
        </w:rPr>
      </w:pPr>
    </w:p>
    <w:p w14:paraId="5D7F23B5" w14:textId="77777777" w:rsidR="002627C3" w:rsidRDefault="002627C3" w:rsidP="00DF0AE5">
      <w:pPr>
        <w:spacing w:line="360" w:lineRule="auto"/>
        <w:jc w:val="both"/>
        <w:rPr>
          <w:rFonts w:ascii="Times New Roman" w:hAnsi="Times New Roman" w:cs="Times New Roman"/>
          <w:b/>
          <w:bCs/>
          <w:sz w:val="24"/>
          <w:szCs w:val="24"/>
        </w:rPr>
      </w:pPr>
    </w:p>
    <w:p w14:paraId="4BB87856" w14:textId="77777777" w:rsidR="002627C3" w:rsidRDefault="002627C3" w:rsidP="00DF0AE5">
      <w:pPr>
        <w:spacing w:line="360" w:lineRule="auto"/>
        <w:jc w:val="both"/>
        <w:rPr>
          <w:rFonts w:ascii="Times New Roman" w:hAnsi="Times New Roman" w:cs="Times New Roman"/>
          <w:b/>
          <w:bCs/>
          <w:sz w:val="24"/>
          <w:szCs w:val="24"/>
        </w:rPr>
      </w:pPr>
    </w:p>
    <w:p w14:paraId="734A4843" w14:textId="77777777" w:rsidR="002627C3" w:rsidRDefault="002627C3" w:rsidP="00DF0AE5">
      <w:pPr>
        <w:spacing w:line="360" w:lineRule="auto"/>
        <w:jc w:val="both"/>
        <w:rPr>
          <w:rFonts w:ascii="Times New Roman" w:hAnsi="Times New Roman" w:cs="Times New Roman"/>
          <w:b/>
          <w:bCs/>
          <w:sz w:val="24"/>
          <w:szCs w:val="24"/>
        </w:rPr>
      </w:pPr>
    </w:p>
    <w:p w14:paraId="7093E5F8" w14:textId="77777777" w:rsidR="002627C3" w:rsidRDefault="002627C3" w:rsidP="00DF0AE5">
      <w:pPr>
        <w:spacing w:line="360" w:lineRule="auto"/>
        <w:jc w:val="both"/>
        <w:rPr>
          <w:rFonts w:ascii="Times New Roman" w:hAnsi="Times New Roman" w:cs="Times New Roman"/>
          <w:b/>
          <w:bCs/>
          <w:sz w:val="24"/>
          <w:szCs w:val="24"/>
        </w:rPr>
      </w:pPr>
    </w:p>
    <w:p w14:paraId="627F8770" w14:textId="74EA3D3F" w:rsidR="00F94960" w:rsidRPr="00DF0AE5" w:rsidRDefault="00AF3C6C" w:rsidP="00DF0AE5">
      <w:pPr>
        <w:spacing w:line="360" w:lineRule="auto"/>
        <w:jc w:val="both"/>
        <w:rPr>
          <w:rFonts w:ascii="Times New Roman" w:hAnsi="Times New Roman" w:cs="Times New Roman"/>
          <w:b/>
          <w:bCs/>
          <w:sz w:val="24"/>
          <w:szCs w:val="24"/>
        </w:rPr>
      </w:pPr>
      <w:r w:rsidRPr="00DF0AE5">
        <w:rPr>
          <w:rFonts w:ascii="Times New Roman" w:hAnsi="Times New Roman" w:cs="Times New Roman"/>
          <w:b/>
          <w:bCs/>
          <w:sz w:val="24"/>
          <w:szCs w:val="24"/>
        </w:rPr>
        <w:lastRenderedPageBreak/>
        <w:t xml:space="preserve">Top 5 </w:t>
      </w:r>
      <w:r w:rsidR="00305D08" w:rsidRPr="00DF0AE5">
        <w:rPr>
          <w:rFonts w:ascii="Times New Roman" w:hAnsi="Times New Roman" w:cs="Times New Roman"/>
          <w:b/>
          <w:bCs/>
          <w:sz w:val="24"/>
          <w:szCs w:val="24"/>
        </w:rPr>
        <w:t xml:space="preserve">products by </w:t>
      </w:r>
      <w:r w:rsidR="00DF0AE5">
        <w:rPr>
          <w:rFonts w:ascii="Times New Roman" w:hAnsi="Times New Roman" w:cs="Times New Roman"/>
          <w:b/>
          <w:bCs/>
          <w:sz w:val="24"/>
          <w:szCs w:val="24"/>
        </w:rPr>
        <w:t>units sold</w:t>
      </w:r>
    </w:p>
    <w:p w14:paraId="601B627E" w14:textId="48EB6881" w:rsidR="00AF3C6C" w:rsidRPr="00DF0AE5" w:rsidRDefault="00DF0AE5" w:rsidP="00DF0AE5">
      <w:pPr>
        <w:spacing w:line="360" w:lineRule="auto"/>
        <w:jc w:val="both"/>
        <w:rPr>
          <w:rFonts w:ascii="Times New Roman" w:hAnsi="Times New Roman" w:cs="Times New Roman"/>
          <w:sz w:val="24"/>
          <w:szCs w:val="24"/>
        </w:rPr>
      </w:pPr>
      <w:r>
        <w:rPr>
          <w:noProof/>
        </w:rPr>
        <w:drawing>
          <wp:inline distT="0" distB="0" distL="0" distR="0" wp14:anchorId="0A1503A2" wp14:editId="633902B7">
            <wp:extent cx="5178426" cy="2724150"/>
            <wp:effectExtent l="0" t="0" r="3175" b="0"/>
            <wp:docPr id="1240196807" name="Chart 1">
              <a:extLst xmlns:a="http://schemas.openxmlformats.org/drawingml/2006/main">
                <a:ext uri="{FF2B5EF4-FFF2-40B4-BE49-F238E27FC236}">
                  <a16:creationId xmlns:a16="http://schemas.microsoft.com/office/drawing/2014/main" id="{00000000-0008-0000-08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F925E8" w14:textId="500788C8" w:rsidR="0046161B" w:rsidRDefault="00DF0AE5" w:rsidP="00187A9F">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Men’s street footwear was the most sold products with 593.3k units sold. Men’s athletic footwear came second with 435.5k units sold while 433.8k units was sold taking the 3</w:t>
      </w:r>
      <w:r w:rsidRPr="00DF0AE5">
        <w:rPr>
          <w:rFonts w:ascii="Times New Roman" w:hAnsi="Times New Roman" w:cs="Times New Roman"/>
          <w:sz w:val="24"/>
          <w:szCs w:val="24"/>
          <w:vertAlign w:val="superscript"/>
        </w:rPr>
        <w:t>rd</w:t>
      </w:r>
      <w:r>
        <w:rPr>
          <w:rFonts w:ascii="Times New Roman" w:hAnsi="Times New Roman" w:cs="Times New Roman"/>
          <w:sz w:val="24"/>
          <w:szCs w:val="24"/>
        </w:rPr>
        <w:t xml:space="preserve"> spot.</w:t>
      </w:r>
    </w:p>
    <w:p w14:paraId="4F8EC42C" w14:textId="5873C3D0" w:rsidR="00DF0AE5" w:rsidRDefault="00DF0AE5" w:rsidP="00187A9F">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Women’s athletic footwear and Men’s apparel had just 317.2k and 306.7k units sold respectively.</w:t>
      </w:r>
    </w:p>
    <w:p w14:paraId="6C1491AC" w14:textId="7AE14514" w:rsidR="00DF0AE5" w:rsidRDefault="00DF0AE5" w:rsidP="00DF0A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Recommendation</w:t>
      </w:r>
    </w:p>
    <w:p w14:paraId="137F1574" w14:textId="63864D96" w:rsidR="00DF0AE5" w:rsidRDefault="00DF0AE5" w:rsidP="00DF0AE5">
      <w:pPr>
        <w:pStyle w:val="ListParagraph"/>
        <w:numPr>
          <w:ilvl w:val="0"/>
          <w:numId w:val="52"/>
        </w:numPr>
        <w:spacing w:line="360" w:lineRule="auto"/>
        <w:jc w:val="both"/>
        <w:rPr>
          <w:rFonts w:ascii="Times New Roman" w:hAnsi="Times New Roman" w:cs="Times New Roman"/>
          <w:sz w:val="24"/>
          <w:szCs w:val="24"/>
        </w:rPr>
      </w:pPr>
      <w:r w:rsidRPr="00DF0AE5">
        <w:rPr>
          <w:rFonts w:ascii="Times New Roman" w:hAnsi="Times New Roman" w:cs="Times New Roman"/>
          <w:sz w:val="24"/>
          <w:szCs w:val="24"/>
        </w:rPr>
        <w:t>Increase the production of Men’s</w:t>
      </w:r>
      <w:r>
        <w:rPr>
          <w:rFonts w:ascii="Times New Roman" w:hAnsi="Times New Roman" w:cs="Times New Roman"/>
          <w:sz w:val="24"/>
          <w:szCs w:val="24"/>
        </w:rPr>
        <w:t xml:space="preserve"> </w:t>
      </w:r>
      <w:r w:rsidRPr="00DF0AE5">
        <w:rPr>
          <w:rFonts w:ascii="Times New Roman" w:hAnsi="Times New Roman" w:cs="Times New Roman"/>
          <w:sz w:val="24"/>
          <w:szCs w:val="24"/>
        </w:rPr>
        <w:t xml:space="preserve">Street footwear </w:t>
      </w:r>
      <w:r>
        <w:rPr>
          <w:rFonts w:ascii="Times New Roman" w:hAnsi="Times New Roman" w:cs="Times New Roman"/>
          <w:sz w:val="24"/>
          <w:szCs w:val="24"/>
        </w:rPr>
        <w:t>due to higher demand.</w:t>
      </w:r>
    </w:p>
    <w:p w14:paraId="76954650" w14:textId="3576CCBC" w:rsidR="00DF0AE5" w:rsidRDefault="00DF0AE5" w:rsidP="00DF0AE5">
      <w:pPr>
        <w:pStyle w:val="ListParagraph"/>
        <w:numPr>
          <w:ilvl w:val="0"/>
          <w:numId w:val="52"/>
        </w:numPr>
        <w:spacing w:line="360" w:lineRule="auto"/>
        <w:jc w:val="both"/>
        <w:rPr>
          <w:rFonts w:ascii="Times New Roman" w:hAnsi="Times New Roman" w:cs="Times New Roman"/>
          <w:sz w:val="24"/>
          <w:szCs w:val="24"/>
        </w:rPr>
      </w:pPr>
      <w:r>
        <w:rPr>
          <w:rFonts w:ascii="Times New Roman" w:hAnsi="Times New Roman" w:cs="Times New Roman"/>
          <w:sz w:val="24"/>
          <w:szCs w:val="24"/>
        </w:rPr>
        <w:t>Other products with lesser products can be advertised more or consider pair sales.</w:t>
      </w:r>
    </w:p>
    <w:p w14:paraId="74071BA4" w14:textId="6F707C0D" w:rsidR="00DF0AE5" w:rsidRDefault="00DF0AE5" w:rsidP="00DF0A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Sales by retailers</w:t>
      </w:r>
    </w:p>
    <w:p w14:paraId="35118B29" w14:textId="163C3B72" w:rsidR="00DF0AE5" w:rsidRPr="00DF0AE5" w:rsidRDefault="00DF0AE5" w:rsidP="00DF0AE5">
      <w:pPr>
        <w:spacing w:line="360" w:lineRule="auto"/>
        <w:jc w:val="both"/>
        <w:rPr>
          <w:rFonts w:ascii="Times New Roman" w:hAnsi="Times New Roman" w:cs="Times New Roman"/>
          <w:b/>
          <w:bCs/>
          <w:sz w:val="24"/>
          <w:szCs w:val="24"/>
        </w:rPr>
      </w:pPr>
      <w:r>
        <w:rPr>
          <w:noProof/>
        </w:rPr>
        <w:lastRenderedPageBreak/>
        <w:drawing>
          <wp:inline distT="0" distB="0" distL="0" distR="0" wp14:anchorId="1FC1466E" wp14:editId="54B79E69">
            <wp:extent cx="5413375" cy="2724150"/>
            <wp:effectExtent l="0" t="0" r="15875" b="0"/>
            <wp:docPr id="571533110" name="Chart 1">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806FF6" w14:textId="727C2237" w:rsidR="00DF0AE5" w:rsidRPr="000253A5" w:rsidRDefault="00DF0AE5" w:rsidP="00DF0AE5">
      <w:pPr>
        <w:pStyle w:val="ListParagraph"/>
        <w:numPr>
          <w:ilvl w:val="0"/>
          <w:numId w:val="5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West gear stores had a larger</w:t>
      </w:r>
      <w:r w:rsidR="000253A5">
        <w:rPr>
          <w:rFonts w:ascii="Times New Roman" w:hAnsi="Times New Roman" w:cs="Times New Roman"/>
          <w:sz w:val="24"/>
          <w:szCs w:val="24"/>
        </w:rPr>
        <w:t xml:space="preserve"> </w:t>
      </w:r>
      <w:r>
        <w:rPr>
          <w:rFonts w:ascii="Times New Roman" w:hAnsi="Times New Roman" w:cs="Times New Roman"/>
          <w:sz w:val="24"/>
          <w:szCs w:val="24"/>
        </w:rPr>
        <w:t xml:space="preserve">sale of </w:t>
      </w:r>
      <w:r w:rsidR="000253A5">
        <w:rPr>
          <w:rFonts w:ascii="Times New Roman" w:hAnsi="Times New Roman" w:cs="Times New Roman"/>
          <w:sz w:val="24"/>
          <w:szCs w:val="24"/>
        </w:rPr>
        <w:t>$243.0m sales across all branches in the country making it the best performing retailer</w:t>
      </w:r>
    </w:p>
    <w:p w14:paraId="5C277BCE" w14:textId="3905F14C" w:rsidR="000253A5" w:rsidRPr="000253A5" w:rsidRDefault="000253A5" w:rsidP="00DF0AE5">
      <w:pPr>
        <w:pStyle w:val="ListParagraph"/>
        <w:numPr>
          <w:ilvl w:val="0"/>
          <w:numId w:val="5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Foot locker generated $220.1m in sakes taking the 2</w:t>
      </w:r>
      <w:r w:rsidRPr="000253A5">
        <w:rPr>
          <w:rFonts w:ascii="Times New Roman" w:hAnsi="Times New Roman" w:cs="Times New Roman"/>
          <w:sz w:val="24"/>
          <w:szCs w:val="24"/>
          <w:vertAlign w:val="superscript"/>
        </w:rPr>
        <w:t>nd</w:t>
      </w:r>
      <w:r>
        <w:rPr>
          <w:rFonts w:ascii="Times New Roman" w:hAnsi="Times New Roman" w:cs="Times New Roman"/>
          <w:sz w:val="24"/>
          <w:szCs w:val="24"/>
        </w:rPr>
        <w:t xml:space="preserve"> spot while sports direct had $182.5m in the 3</w:t>
      </w:r>
      <w:r w:rsidRPr="000253A5">
        <w:rPr>
          <w:rFonts w:ascii="Times New Roman" w:hAnsi="Times New Roman" w:cs="Times New Roman"/>
          <w:sz w:val="24"/>
          <w:szCs w:val="24"/>
          <w:vertAlign w:val="superscript"/>
        </w:rPr>
        <w:t>rd</w:t>
      </w:r>
      <w:r>
        <w:rPr>
          <w:rFonts w:ascii="Times New Roman" w:hAnsi="Times New Roman" w:cs="Times New Roman"/>
          <w:sz w:val="24"/>
          <w:szCs w:val="24"/>
        </w:rPr>
        <w:t xml:space="preserve"> spot.</w:t>
      </w:r>
    </w:p>
    <w:p w14:paraId="0249BE32" w14:textId="07DFCF41" w:rsidR="000253A5" w:rsidRPr="000F2365" w:rsidRDefault="000F2365" w:rsidP="00DF0AE5">
      <w:pPr>
        <w:pStyle w:val="ListParagraph"/>
        <w:numPr>
          <w:ilvl w:val="0"/>
          <w:numId w:val="54"/>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Kohl’s, amazon, and Walmart had $102.1m, $77.7m and $74.6m in sales respectively. </w:t>
      </w:r>
    </w:p>
    <w:p w14:paraId="208FEECA" w14:textId="3E7E1239" w:rsidR="000F2365" w:rsidRDefault="000F2365" w:rsidP="000F236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Recommendations</w:t>
      </w:r>
    </w:p>
    <w:p w14:paraId="32B74F01" w14:textId="2BCE8BB8" w:rsidR="000F2365" w:rsidRPr="000F2365" w:rsidRDefault="000F2365" w:rsidP="000F2365">
      <w:pPr>
        <w:pStyle w:val="ListParagraph"/>
        <w:numPr>
          <w:ilvl w:val="0"/>
          <w:numId w:val="5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Provide a form of promotion for top performing retailers.</w:t>
      </w:r>
    </w:p>
    <w:p w14:paraId="0BB1B7E7" w14:textId="77777777" w:rsidR="000F2365" w:rsidRPr="000F2365" w:rsidRDefault="000F2365" w:rsidP="000F2365">
      <w:pPr>
        <w:spacing w:line="360" w:lineRule="auto"/>
        <w:jc w:val="both"/>
        <w:rPr>
          <w:rFonts w:ascii="Times New Roman" w:hAnsi="Times New Roman" w:cs="Times New Roman"/>
          <w:b/>
          <w:bCs/>
          <w:sz w:val="24"/>
          <w:szCs w:val="24"/>
        </w:rPr>
      </w:pPr>
    </w:p>
    <w:p w14:paraId="2D4B6A85" w14:textId="2AFC34C0" w:rsidR="00EE3DF3" w:rsidRPr="006C1C44" w:rsidRDefault="00EE3DF3" w:rsidP="006C1C44">
      <w:pPr>
        <w:spacing w:line="360" w:lineRule="auto"/>
        <w:jc w:val="both"/>
        <w:rPr>
          <w:rFonts w:ascii="Times New Roman" w:hAnsi="Times New Roman" w:cs="Times New Roman"/>
          <w:b/>
          <w:bCs/>
          <w:sz w:val="24"/>
          <w:szCs w:val="24"/>
        </w:rPr>
      </w:pPr>
      <w:r w:rsidRPr="006C1C44">
        <w:rPr>
          <w:rFonts w:ascii="Times New Roman" w:hAnsi="Times New Roman" w:cs="Times New Roman"/>
          <w:b/>
          <w:bCs/>
          <w:sz w:val="24"/>
          <w:szCs w:val="24"/>
        </w:rPr>
        <w:t>DASHBOARD</w:t>
      </w:r>
    </w:p>
    <w:p w14:paraId="181BC794" w14:textId="5BEDDEB8" w:rsidR="00EE3DF3" w:rsidRDefault="006C1C44" w:rsidP="006C1C44">
      <w:pPr>
        <w:spacing w:line="360" w:lineRule="auto"/>
        <w:jc w:val="both"/>
        <w:rPr>
          <w:rFonts w:ascii="Times New Roman" w:hAnsi="Times New Roman" w:cs="Times New Roman"/>
          <w:b/>
          <w:bCs/>
          <w:sz w:val="24"/>
          <w:szCs w:val="24"/>
        </w:rPr>
      </w:pPr>
      <w:r w:rsidRPr="006C1C44">
        <w:rPr>
          <w:rFonts w:ascii="Times New Roman" w:hAnsi="Times New Roman" w:cs="Times New Roman"/>
          <w:b/>
          <w:bCs/>
          <w:noProof/>
          <w:sz w:val="24"/>
          <w:szCs w:val="24"/>
        </w:rPr>
        <w:lastRenderedPageBreak/>
        <mc:AlternateContent>
          <mc:Choice Requires="wps">
            <w:drawing>
              <wp:anchor distT="45720" distB="45720" distL="114300" distR="114300" simplePos="0" relativeHeight="251659264" behindDoc="0" locked="0" layoutInCell="1" allowOverlap="1" wp14:anchorId="56F8E554" wp14:editId="4B8B0D1F">
                <wp:simplePos x="0" y="0"/>
                <wp:positionH relativeFrom="margin">
                  <wp:posOffset>533400</wp:posOffset>
                </wp:positionH>
                <wp:positionV relativeFrom="paragraph">
                  <wp:posOffset>111760</wp:posOffset>
                </wp:positionV>
                <wp:extent cx="6000750" cy="3381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3381375"/>
                        </a:xfrm>
                        <a:prstGeom prst="rect">
                          <a:avLst/>
                        </a:prstGeom>
                        <a:solidFill>
                          <a:srgbClr val="FFFFFF"/>
                        </a:solidFill>
                        <a:ln w="9525">
                          <a:solidFill>
                            <a:srgbClr val="000000"/>
                          </a:solidFill>
                          <a:miter lim="800000"/>
                          <a:headEnd/>
                          <a:tailEnd/>
                        </a:ln>
                      </wps:spPr>
                      <wps:txbx>
                        <w:txbxContent>
                          <w:p w14:paraId="37D5B564" w14:textId="13A2FA0E" w:rsidR="006C1C44" w:rsidRDefault="00FD07B4">
                            <w:r>
                              <w:rPr>
                                <w:noProof/>
                              </w:rPr>
                              <w:drawing>
                                <wp:inline distT="0" distB="0" distL="0" distR="0" wp14:anchorId="4488313B" wp14:editId="48A5D640">
                                  <wp:extent cx="5789930" cy="3286125"/>
                                  <wp:effectExtent l="0" t="0" r="1270" b="9525"/>
                                  <wp:docPr id="1619483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9930" cy="32861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8E554" id="_x0000_s1027" type="#_x0000_t202" style="position:absolute;left:0;text-align:left;margin-left:42pt;margin-top:8.8pt;width:472.5pt;height:266.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">
                <v:textbox>
                  <w:txbxContent>
                    <w:p w14:paraId="37D5B564" w14:textId="13A2FA0E" w:rsidR="006C1C44" w:rsidRDefault="00FD07B4">
                      <w:r>
                        <w:rPr>
                          <w:noProof/>
                        </w:rPr>
                        <w:drawing>
                          <wp:inline distT="0" distB="0" distL="0" distR="0" wp14:anchorId="4488313B" wp14:editId="48A5D640">
                            <wp:extent cx="5789930" cy="3286125"/>
                            <wp:effectExtent l="0" t="0" r="1270" b="9525"/>
                            <wp:docPr id="1619483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9930" cy="3286125"/>
                                    </a:xfrm>
                                    <a:prstGeom prst="rect">
                                      <a:avLst/>
                                    </a:prstGeom>
                                    <a:noFill/>
                                    <a:ln>
                                      <a:noFill/>
                                    </a:ln>
                                  </pic:spPr>
                                </pic:pic>
                              </a:graphicData>
                            </a:graphic>
                          </wp:inline>
                        </w:drawing>
                      </w:r>
                    </w:p>
                  </w:txbxContent>
                </v:textbox>
                <w10:wrap type="square" anchorx="margin"/>
              </v:shape>
            </w:pict>
          </mc:Fallback>
        </mc:AlternateContent>
      </w:r>
    </w:p>
    <w:p w14:paraId="4825AD41" w14:textId="7A1A3EF3" w:rsidR="006C1C44" w:rsidRDefault="006C1C44" w:rsidP="006C1C44">
      <w:pPr>
        <w:spacing w:line="360" w:lineRule="auto"/>
        <w:jc w:val="both"/>
        <w:rPr>
          <w:rFonts w:ascii="Times New Roman" w:hAnsi="Times New Roman" w:cs="Times New Roman"/>
          <w:b/>
          <w:bCs/>
          <w:sz w:val="24"/>
          <w:szCs w:val="24"/>
        </w:rPr>
      </w:pPr>
    </w:p>
    <w:p w14:paraId="53A97F3B" w14:textId="77777777" w:rsidR="006C1C44" w:rsidRDefault="006C1C44" w:rsidP="006C1C44">
      <w:pPr>
        <w:spacing w:line="360" w:lineRule="auto"/>
        <w:jc w:val="both"/>
        <w:rPr>
          <w:rFonts w:ascii="Times New Roman" w:hAnsi="Times New Roman" w:cs="Times New Roman"/>
          <w:b/>
          <w:bCs/>
          <w:sz w:val="24"/>
          <w:szCs w:val="24"/>
        </w:rPr>
      </w:pPr>
    </w:p>
    <w:p w14:paraId="3CB7A2E1" w14:textId="77777777" w:rsidR="006C1C44" w:rsidRDefault="006C1C44" w:rsidP="006C1C44">
      <w:pPr>
        <w:spacing w:line="360" w:lineRule="auto"/>
        <w:jc w:val="both"/>
        <w:rPr>
          <w:rFonts w:ascii="Times New Roman" w:hAnsi="Times New Roman" w:cs="Times New Roman"/>
          <w:b/>
          <w:bCs/>
          <w:sz w:val="24"/>
          <w:szCs w:val="24"/>
        </w:rPr>
      </w:pPr>
    </w:p>
    <w:p w14:paraId="01E5D83C" w14:textId="77777777" w:rsidR="006C1C44" w:rsidRDefault="006C1C44" w:rsidP="006C1C44">
      <w:pPr>
        <w:spacing w:line="360" w:lineRule="auto"/>
        <w:jc w:val="both"/>
        <w:rPr>
          <w:rFonts w:ascii="Times New Roman" w:hAnsi="Times New Roman" w:cs="Times New Roman"/>
          <w:b/>
          <w:bCs/>
          <w:sz w:val="24"/>
          <w:szCs w:val="24"/>
        </w:rPr>
      </w:pPr>
    </w:p>
    <w:p w14:paraId="7F3BBEF7" w14:textId="77777777" w:rsidR="006C1C44" w:rsidRDefault="006C1C44" w:rsidP="006C1C44">
      <w:pPr>
        <w:spacing w:line="360" w:lineRule="auto"/>
        <w:jc w:val="both"/>
        <w:rPr>
          <w:rFonts w:ascii="Times New Roman" w:hAnsi="Times New Roman" w:cs="Times New Roman"/>
          <w:b/>
          <w:bCs/>
          <w:sz w:val="24"/>
          <w:szCs w:val="24"/>
        </w:rPr>
      </w:pPr>
    </w:p>
    <w:p w14:paraId="29BFE13C" w14:textId="77777777" w:rsidR="006C1C44" w:rsidRDefault="006C1C44" w:rsidP="006C1C44">
      <w:pPr>
        <w:spacing w:line="360" w:lineRule="auto"/>
        <w:jc w:val="both"/>
        <w:rPr>
          <w:rFonts w:ascii="Times New Roman" w:hAnsi="Times New Roman" w:cs="Times New Roman"/>
          <w:b/>
          <w:bCs/>
          <w:sz w:val="24"/>
          <w:szCs w:val="24"/>
        </w:rPr>
      </w:pPr>
    </w:p>
    <w:p w14:paraId="7C1CCCEA" w14:textId="77777777" w:rsidR="006C1C44" w:rsidRDefault="006C1C44" w:rsidP="006C1C44">
      <w:pPr>
        <w:spacing w:line="360" w:lineRule="auto"/>
        <w:jc w:val="both"/>
        <w:rPr>
          <w:rFonts w:ascii="Times New Roman" w:hAnsi="Times New Roman" w:cs="Times New Roman"/>
          <w:b/>
          <w:bCs/>
          <w:sz w:val="24"/>
          <w:szCs w:val="24"/>
        </w:rPr>
      </w:pPr>
    </w:p>
    <w:p w14:paraId="06B6A8E3" w14:textId="77777777" w:rsidR="006C1C44" w:rsidRDefault="006C1C44" w:rsidP="006C1C44">
      <w:pPr>
        <w:spacing w:line="360" w:lineRule="auto"/>
        <w:jc w:val="both"/>
        <w:rPr>
          <w:rFonts w:ascii="Times New Roman" w:hAnsi="Times New Roman" w:cs="Times New Roman"/>
          <w:b/>
          <w:bCs/>
          <w:sz w:val="24"/>
          <w:szCs w:val="24"/>
        </w:rPr>
      </w:pPr>
    </w:p>
    <w:p w14:paraId="0E0D0AC0" w14:textId="5D51CEAD" w:rsidR="00EE3DF3" w:rsidRPr="006C1C44" w:rsidRDefault="00EE3DF3" w:rsidP="006C1C44">
      <w:pPr>
        <w:spacing w:line="360" w:lineRule="auto"/>
        <w:jc w:val="both"/>
        <w:rPr>
          <w:rFonts w:ascii="Times New Roman" w:hAnsi="Times New Roman" w:cs="Times New Roman"/>
          <w:b/>
          <w:bCs/>
          <w:sz w:val="24"/>
          <w:szCs w:val="24"/>
        </w:rPr>
      </w:pPr>
      <w:r w:rsidRPr="006C1C44">
        <w:rPr>
          <w:rFonts w:ascii="Times New Roman" w:hAnsi="Times New Roman" w:cs="Times New Roman"/>
          <w:b/>
          <w:bCs/>
          <w:sz w:val="24"/>
          <w:szCs w:val="24"/>
        </w:rPr>
        <w:t xml:space="preserve">FINAL OBSERVATIONS AND INGHTS </w:t>
      </w:r>
    </w:p>
    <w:p w14:paraId="64D6E3AE" w14:textId="1F63210D" w:rsidR="00F9563D" w:rsidRPr="00F9563D" w:rsidRDefault="00F9563D" w:rsidP="00F9563D">
      <w:pPr>
        <w:pStyle w:val="ListParagraph"/>
        <w:numPr>
          <w:ilvl w:val="0"/>
          <w:numId w:val="55"/>
        </w:numPr>
        <w:spacing w:line="360" w:lineRule="auto"/>
        <w:jc w:val="both"/>
        <w:rPr>
          <w:rFonts w:ascii="Times New Roman" w:hAnsi="Times New Roman" w:cs="Times New Roman"/>
          <w:sz w:val="24"/>
          <w:szCs w:val="24"/>
        </w:rPr>
      </w:pPr>
      <w:r w:rsidRPr="00F9563D">
        <w:rPr>
          <w:rFonts w:ascii="Times New Roman" w:hAnsi="Times New Roman" w:cs="Times New Roman"/>
          <w:sz w:val="24"/>
          <w:szCs w:val="24"/>
        </w:rPr>
        <w:t>Footwear and apparel lead both in unit sales and revenue, with men’s products showing higher demand overall.</w:t>
      </w:r>
    </w:p>
    <w:p w14:paraId="22E972F6" w14:textId="2756E3A9" w:rsidR="00F9563D" w:rsidRPr="00F9563D" w:rsidRDefault="00F9563D" w:rsidP="00F9563D">
      <w:pPr>
        <w:pStyle w:val="ListParagraph"/>
        <w:numPr>
          <w:ilvl w:val="0"/>
          <w:numId w:val="55"/>
        </w:numPr>
        <w:spacing w:line="360" w:lineRule="auto"/>
        <w:jc w:val="both"/>
        <w:rPr>
          <w:rFonts w:ascii="Times New Roman" w:hAnsi="Times New Roman" w:cs="Times New Roman"/>
          <w:sz w:val="24"/>
          <w:szCs w:val="24"/>
        </w:rPr>
      </w:pPr>
      <w:r w:rsidRPr="00F9563D">
        <w:rPr>
          <w:rFonts w:ascii="Times New Roman" w:hAnsi="Times New Roman" w:cs="Times New Roman"/>
          <w:sz w:val="24"/>
          <w:szCs w:val="24"/>
        </w:rPr>
        <w:t>Sales increased significantly from 2020 to 2021, highlighting business recovery and consumer interest.</w:t>
      </w:r>
    </w:p>
    <w:p w14:paraId="70EC1EA8" w14:textId="2A67DE9C" w:rsidR="00F9563D" w:rsidRPr="00F9563D" w:rsidRDefault="00F9563D" w:rsidP="00F9563D">
      <w:pPr>
        <w:pStyle w:val="ListParagraph"/>
        <w:numPr>
          <w:ilvl w:val="0"/>
          <w:numId w:val="55"/>
        </w:numPr>
        <w:spacing w:line="360" w:lineRule="auto"/>
        <w:jc w:val="both"/>
        <w:rPr>
          <w:rFonts w:ascii="Times New Roman" w:hAnsi="Times New Roman" w:cs="Times New Roman"/>
          <w:sz w:val="24"/>
          <w:szCs w:val="24"/>
        </w:rPr>
      </w:pPr>
      <w:r w:rsidRPr="00F9563D">
        <w:rPr>
          <w:rFonts w:ascii="Times New Roman" w:hAnsi="Times New Roman" w:cs="Times New Roman"/>
          <w:sz w:val="24"/>
          <w:szCs w:val="24"/>
        </w:rPr>
        <w:t>The Western region and large urban states (NY, CA, FL) are consistent revenue drivers.</w:t>
      </w:r>
    </w:p>
    <w:p w14:paraId="2D610453" w14:textId="1909CAE0" w:rsidR="00F9563D" w:rsidRPr="00F9563D" w:rsidRDefault="00F9563D" w:rsidP="00F9563D">
      <w:pPr>
        <w:pStyle w:val="ListParagraph"/>
        <w:numPr>
          <w:ilvl w:val="0"/>
          <w:numId w:val="55"/>
        </w:numPr>
        <w:spacing w:line="360" w:lineRule="auto"/>
        <w:jc w:val="both"/>
        <w:rPr>
          <w:rFonts w:ascii="Times New Roman" w:hAnsi="Times New Roman" w:cs="Times New Roman"/>
          <w:sz w:val="24"/>
          <w:szCs w:val="24"/>
        </w:rPr>
      </w:pPr>
      <w:r w:rsidRPr="00F9563D">
        <w:rPr>
          <w:rFonts w:ascii="Times New Roman" w:hAnsi="Times New Roman" w:cs="Times New Roman"/>
          <w:sz w:val="24"/>
          <w:szCs w:val="24"/>
        </w:rPr>
        <w:t>Some regions remain underutilized, likely due to limited retail presence.</w:t>
      </w:r>
    </w:p>
    <w:p w14:paraId="7DEFB033" w14:textId="2B25DD1B" w:rsidR="00F9563D" w:rsidRPr="00F9563D" w:rsidRDefault="00F9563D" w:rsidP="00F9563D">
      <w:pPr>
        <w:pStyle w:val="ListParagraph"/>
        <w:numPr>
          <w:ilvl w:val="0"/>
          <w:numId w:val="55"/>
        </w:numPr>
        <w:spacing w:line="360" w:lineRule="auto"/>
        <w:jc w:val="both"/>
        <w:rPr>
          <w:rFonts w:ascii="Times New Roman" w:hAnsi="Times New Roman" w:cs="Times New Roman"/>
          <w:sz w:val="24"/>
          <w:szCs w:val="24"/>
        </w:rPr>
      </w:pPr>
      <w:r w:rsidRPr="00F9563D">
        <w:rPr>
          <w:rFonts w:ascii="Times New Roman" w:hAnsi="Times New Roman" w:cs="Times New Roman"/>
          <w:sz w:val="24"/>
          <w:szCs w:val="24"/>
        </w:rPr>
        <w:t>Retailers like West Gear Stores and Foot Locker play a significant role in overall performance.</w:t>
      </w:r>
    </w:p>
    <w:p w14:paraId="16D9765C" w14:textId="77777777" w:rsidR="006C1C44" w:rsidRDefault="006C1C44" w:rsidP="006C1C44">
      <w:pPr>
        <w:spacing w:line="360" w:lineRule="auto"/>
        <w:jc w:val="both"/>
        <w:rPr>
          <w:rFonts w:ascii="Times New Roman" w:hAnsi="Times New Roman" w:cs="Times New Roman"/>
          <w:b/>
          <w:bCs/>
          <w:sz w:val="24"/>
          <w:szCs w:val="24"/>
        </w:rPr>
      </w:pPr>
    </w:p>
    <w:p w14:paraId="6ADDE688" w14:textId="77777777" w:rsidR="006C1C44" w:rsidRDefault="006C1C44" w:rsidP="006C1C44">
      <w:pPr>
        <w:spacing w:line="360" w:lineRule="auto"/>
        <w:jc w:val="both"/>
        <w:rPr>
          <w:rFonts w:ascii="Times New Roman" w:hAnsi="Times New Roman" w:cs="Times New Roman"/>
          <w:b/>
          <w:bCs/>
          <w:sz w:val="24"/>
          <w:szCs w:val="24"/>
        </w:rPr>
      </w:pPr>
    </w:p>
    <w:p w14:paraId="3E8CD29C" w14:textId="77777777" w:rsidR="006C1C44" w:rsidRDefault="006C1C44" w:rsidP="006C1C44">
      <w:pPr>
        <w:spacing w:line="360" w:lineRule="auto"/>
        <w:jc w:val="both"/>
        <w:rPr>
          <w:rFonts w:ascii="Times New Roman" w:hAnsi="Times New Roman" w:cs="Times New Roman"/>
          <w:b/>
          <w:bCs/>
          <w:sz w:val="24"/>
          <w:szCs w:val="24"/>
        </w:rPr>
      </w:pPr>
    </w:p>
    <w:p w14:paraId="2342B313" w14:textId="77777777" w:rsidR="006C1C44" w:rsidRDefault="006C1C44" w:rsidP="006C1C44">
      <w:pPr>
        <w:spacing w:line="360" w:lineRule="auto"/>
        <w:jc w:val="both"/>
        <w:rPr>
          <w:rFonts w:ascii="Times New Roman" w:hAnsi="Times New Roman" w:cs="Times New Roman"/>
          <w:b/>
          <w:bCs/>
          <w:sz w:val="24"/>
          <w:szCs w:val="24"/>
        </w:rPr>
      </w:pPr>
    </w:p>
    <w:p w14:paraId="7AAEC91B" w14:textId="26CED484" w:rsidR="00422B29" w:rsidRDefault="00F9563D" w:rsidP="006C1C4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DATA-DRIVEN </w:t>
      </w:r>
      <w:r w:rsidR="00422B29" w:rsidRPr="006C1C44">
        <w:rPr>
          <w:rFonts w:ascii="Times New Roman" w:hAnsi="Times New Roman" w:cs="Times New Roman"/>
          <w:b/>
          <w:bCs/>
          <w:sz w:val="24"/>
          <w:szCs w:val="24"/>
        </w:rPr>
        <w:t xml:space="preserve">RECOMMENDATIONS </w:t>
      </w:r>
    </w:p>
    <w:p w14:paraId="221B1421" w14:textId="1809FB31" w:rsidR="006A1CFA" w:rsidRDefault="006A1CFA" w:rsidP="006C1C44">
      <w:pPr>
        <w:spacing w:line="360" w:lineRule="auto"/>
        <w:jc w:val="both"/>
        <w:rPr>
          <w:rFonts w:ascii="Times New Roman" w:hAnsi="Times New Roman" w:cs="Times New Roman"/>
          <w:b/>
          <w:bCs/>
          <w:sz w:val="24"/>
          <w:szCs w:val="24"/>
        </w:rPr>
      </w:pPr>
      <w:r w:rsidRPr="006A1CFA">
        <w:rPr>
          <w:rFonts w:ascii="Times New Roman" w:hAnsi="Times New Roman" w:cs="Times New Roman"/>
          <w:b/>
          <w:bCs/>
          <w:sz w:val="24"/>
          <w:szCs w:val="24"/>
        </w:rPr>
        <w:t>Product Sub-Categories</w:t>
      </w:r>
    </w:p>
    <w:p w14:paraId="60932295" w14:textId="1612317D" w:rsidR="006A1CFA" w:rsidRDefault="00F9563D" w:rsidP="006A1CFA">
      <w:pPr>
        <w:pStyle w:val="ListParagraph"/>
        <w:numPr>
          <w:ilvl w:val="0"/>
          <w:numId w:val="43"/>
        </w:numPr>
        <w:spacing w:line="360" w:lineRule="auto"/>
        <w:jc w:val="both"/>
        <w:rPr>
          <w:rFonts w:ascii="Times New Roman" w:hAnsi="Times New Roman" w:cs="Times New Roman"/>
          <w:sz w:val="24"/>
          <w:szCs w:val="24"/>
        </w:rPr>
      </w:pPr>
      <w:r w:rsidRPr="00F9563D">
        <w:rPr>
          <w:rFonts w:ascii="Times New Roman" w:hAnsi="Times New Roman" w:cs="Times New Roman"/>
          <w:sz w:val="24"/>
          <w:szCs w:val="24"/>
        </w:rPr>
        <w:lastRenderedPageBreak/>
        <w:t>These high-revenue products should be prioritized for stock replenishment, marketing, and trend analysis.</w:t>
      </w:r>
      <w:r>
        <w:rPr>
          <w:rFonts w:ascii="Times New Roman" w:hAnsi="Times New Roman" w:cs="Times New Roman"/>
          <w:sz w:val="24"/>
          <w:szCs w:val="24"/>
        </w:rPr>
        <w:t xml:space="preserve"> </w:t>
      </w:r>
      <w:r w:rsidR="006A1CFA" w:rsidRPr="006A1CFA">
        <w:rPr>
          <w:rFonts w:ascii="Times New Roman" w:hAnsi="Times New Roman" w:cs="Times New Roman"/>
          <w:sz w:val="24"/>
          <w:szCs w:val="24"/>
        </w:rPr>
        <w:t>Promotional efforts should emphasize these high-ticket product categories through bundled deals or flash sales, especially in tech-savvy regions.</w:t>
      </w:r>
    </w:p>
    <w:p w14:paraId="3386D807" w14:textId="65660672" w:rsidR="006A1CFA" w:rsidRDefault="006A1CFA" w:rsidP="006A1CFA">
      <w:pPr>
        <w:pStyle w:val="ListParagraph"/>
        <w:numPr>
          <w:ilvl w:val="0"/>
          <w:numId w:val="43"/>
        </w:numPr>
        <w:spacing w:line="360" w:lineRule="auto"/>
        <w:jc w:val="both"/>
        <w:rPr>
          <w:rFonts w:ascii="Times New Roman" w:hAnsi="Times New Roman" w:cs="Times New Roman"/>
          <w:sz w:val="24"/>
          <w:szCs w:val="24"/>
        </w:rPr>
      </w:pPr>
      <w:r w:rsidRPr="006A1CFA">
        <w:rPr>
          <w:rFonts w:ascii="Times New Roman" w:hAnsi="Times New Roman" w:cs="Times New Roman"/>
          <w:sz w:val="24"/>
          <w:szCs w:val="24"/>
        </w:rPr>
        <w:t xml:space="preserve">Lower-performing </w:t>
      </w:r>
      <w:r w:rsidR="00F9563D">
        <w:rPr>
          <w:rFonts w:ascii="Times New Roman" w:hAnsi="Times New Roman" w:cs="Times New Roman"/>
          <w:sz w:val="24"/>
          <w:szCs w:val="24"/>
        </w:rPr>
        <w:t>products</w:t>
      </w:r>
      <w:r w:rsidRPr="006A1CFA">
        <w:rPr>
          <w:rFonts w:ascii="Times New Roman" w:hAnsi="Times New Roman" w:cs="Times New Roman"/>
          <w:sz w:val="24"/>
          <w:szCs w:val="24"/>
        </w:rPr>
        <w:t xml:space="preserve"> could be paired with bestsellers encourage add-on purchases and improve turnover.</w:t>
      </w:r>
    </w:p>
    <w:p w14:paraId="5434884F" w14:textId="13D89E45" w:rsidR="006A1CFA" w:rsidRDefault="006A1CFA" w:rsidP="006A1CFA">
      <w:pPr>
        <w:spacing w:line="360" w:lineRule="auto"/>
        <w:jc w:val="both"/>
        <w:rPr>
          <w:rFonts w:ascii="Times New Roman" w:hAnsi="Times New Roman" w:cs="Times New Roman"/>
          <w:b/>
          <w:bCs/>
          <w:sz w:val="24"/>
          <w:szCs w:val="24"/>
        </w:rPr>
      </w:pPr>
      <w:r w:rsidRPr="006A1CFA">
        <w:rPr>
          <w:rFonts w:ascii="Times New Roman" w:hAnsi="Times New Roman" w:cs="Times New Roman"/>
          <w:b/>
          <w:bCs/>
          <w:sz w:val="24"/>
          <w:szCs w:val="24"/>
        </w:rPr>
        <w:t>Sales growth</w:t>
      </w:r>
    </w:p>
    <w:p w14:paraId="079C6D13" w14:textId="736AEE8D" w:rsidR="006A1CFA" w:rsidRPr="00F9563D" w:rsidRDefault="00F9563D" w:rsidP="00F9563D">
      <w:pPr>
        <w:pStyle w:val="ListParagraph"/>
        <w:numPr>
          <w:ilvl w:val="0"/>
          <w:numId w:val="44"/>
        </w:numPr>
        <w:spacing w:line="360" w:lineRule="auto"/>
        <w:jc w:val="both"/>
        <w:rPr>
          <w:rFonts w:ascii="Times New Roman" w:hAnsi="Times New Roman" w:cs="Times New Roman"/>
          <w:sz w:val="24"/>
          <w:szCs w:val="24"/>
        </w:rPr>
      </w:pPr>
      <w:r w:rsidRPr="00F9563D">
        <w:rPr>
          <w:rFonts w:ascii="Times New Roman" w:hAnsi="Times New Roman" w:cs="Times New Roman"/>
          <w:sz w:val="24"/>
          <w:szCs w:val="24"/>
        </w:rPr>
        <w:t>Investigate causes behind Q4 sales decline—could be seasonal factors or supply chain issues. Plan early campaigns to sustain Q4 performance</w:t>
      </w:r>
      <w:r>
        <w:rPr>
          <w:rFonts w:ascii="Times New Roman" w:hAnsi="Times New Roman" w:cs="Times New Roman"/>
          <w:sz w:val="24"/>
          <w:szCs w:val="24"/>
        </w:rPr>
        <w:t>.</w:t>
      </w:r>
    </w:p>
    <w:p w14:paraId="73FD09AC" w14:textId="2613997B" w:rsidR="006A1CFA" w:rsidRDefault="006A1CFA" w:rsidP="006A1CFA">
      <w:pPr>
        <w:spacing w:line="360" w:lineRule="auto"/>
        <w:jc w:val="both"/>
        <w:rPr>
          <w:rFonts w:ascii="Times New Roman" w:hAnsi="Times New Roman" w:cs="Times New Roman"/>
          <w:b/>
          <w:bCs/>
          <w:sz w:val="24"/>
          <w:szCs w:val="24"/>
        </w:rPr>
      </w:pPr>
      <w:r w:rsidRPr="006A1CFA">
        <w:rPr>
          <w:rFonts w:ascii="Times New Roman" w:hAnsi="Times New Roman" w:cs="Times New Roman"/>
          <w:b/>
          <w:bCs/>
          <w:sz w:val="24"/>
          <w:szCs w:val="24"/>
        </w:rPr>
        <w:t>Region</w:t>
      </w:r>
    </w:p>
    <w:p w14:paraId="143B6F85" w14:textId="77777777" w:rsidR="00F9563D" w:rsidRPr="00F9563D" w:rsidRDefault="00F9563D" w:rsidP="00F9563D">
      <w:pPr>
        <w:pStyle w:val="ListParagraph"/>
        <w:numPr>
          <w:ilvl w:val="0"/>
          <w:numId w:val="44"/>
        </w:numPr>
        <w:spacing w:line="360" w:lineRule="auto"/>
        <w:jc w:val="both"/>
        <w:rPr>
          <w:rFonts w:ascii="Times New Roman" w:hAnsi="Times New Roman" w:cs="Times New Roman"/>
          <w:sz w:val="24"/>
          <w:szCs w:val="24"/>
        </w:rPr>
      </w:pPr>
      <w:r w:rsidRPr="00F9563D">
        <w:rPr>
          <w:rFonts w:ascii="Times New Roman" w:hAnsi="Times New Roman" w:cs="Times New Roman"/>
          <w:sz w:val="24"/>
          <w:szCs w:val="24"/>
        </w:rPr>
        <w:t>Prioritize marketing and promotional efforts in the Western region. Consider increasing retail presence in regions with lower sales.</w:t>
      </w:r>
    </w:p>
    <w:p w14:paraId="186B4C33" w14:textId="14CCFE42" w:rsidR="006A1CFA" w:rsidRDefault="00F9563D" w:rsidP="006A1C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State-level sales </w:t>
      </w:r>
    </w:p>
    <w:p w14:paraId="7CD46A30" w14:textId="26EC1D5F" w:rsidR="00F9563D" w:rsidRPr="00F9563D" w:rsidRDefault="00F9563D" w:rsidP="00F9563D">
      <w:pPr>
        <w:pStyle w:val="ListParagraph"/>
        <w:numPr>
          <w:ilvl w:val="0"/>
          <w:numId w:val="44"/>
        </w:numPr>
        <w:spacing w:line="360" w:lineRule="auto"/>
        <w:jc w:val="both"/>
        <w:rPr>
          <w:rFonts w:ascii="Times New Roman" w:hAnsi="Times New Roman" w:cs="Times New Roman"/>
          <w:sz w:val="24"/>
          <w:szCs w:val="24"/>
        </w:rPr>
      </w:pPr>
      <w:r w:rsidRPr="00F9563D">
        <w:rPr>
          <w:rFonts w:ascii="Times New Roman" w:hAnsi="Times New Roman" w:cs="Times New Roman"/>
          <w:sz w:val="24"/>
          <w:szCs w:val="24"/>
        </w:rPr>
        <w:t>Focus state-level promotions in New York, California, and Florida. These states have proven strong demand and should remain inventory and logistics priorities.</w:t>
      </w:r>
    </w:p>
    <w:p w14:paraId="57203C54" w14:textId="0A27CD45" w:rsidR="006A1CFA" w:rsidRDefault="006A1CFA" w:rsidP="006A1CFA">
      <w:pPr>
        <w:spacing w:line="360" w:lineRule="auto"/>
        <w:jc w:val="both"/>
        <w:rPr>
          <w:rFonts w:ascii="Times New Roman" w:hAnsi="Times New Roman" w:cs="Times New Roman"/>
          <w:b/>
          <w:bCs/>
          <w:sz w:val="24"/>
          <w:szCs w:val="24"/>
        </w:rPr>
      </w:pPr>
      <w:r w:rsidRPr="006A1CFA">
        <w:rPr>
          <w:rFonts w:ascii="Times New Roman" w:hAnsi="Times New Roman" w:cs="Times New Roman"/>
          <w:b/>
          <w:bCs/>
          <w:sz w:val="24"/>
          <w:szCs w:val="24"/>
        </w:rPr>
        <w:t xml:space="preserve">Product </w:t>
      </w:r>
      <w:r w:rsidR="00F9563D">
        <w:rPr>
          <w:rFonts w:ascii="Times New Roman" w:hAnsi="Times New Roman" w:cs="Times New Roman"/>
          <w:b/>
          <w:bCs/>
          <w:sz w:val="24"/>
          <w:szCs w:val="24"/>
        </w:rPr>
        <w:t>unit sales</w:t>
      </w:r>
    </w:p>
    <w:p w14:paraId="3685DFF0" w14:textId="647A5832" w:rsidR="0026697E" w:rsidRPr="00F9563D" w:rsidRDefault="00F9563D" w:rsidP="0026697E">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9563D">
        <w:rPr>
          <w:rFonts w:ascii="Times New Roman" w:hAnsi="Times New Roman" w:cs="Times New Roman"/>
          <w:sz w:val="24"/>
          <w:szCs w:val="24"/>
        </w:rPr>
        <w:t xml:space="preserve">Increase production for high-demand products. Products with lower unit sales should be supported with targeted campaigns or promotional </w:t>
      </w:r>
      <w:r w:rsidRPr="00F9563D">
        <w:rPr>
          <w:rFonts w:ascii="Times New Roman" w:hAnsi="Times New Roman" w:cs="Times New Roman"/>
          <w:sz w:val="24"/>
          <w:szCs w:val="24"/>
        </w:rPr>
        <w:t>bundles.</w:t>
      </w:r>
    </w:p>
    <w:p w14:paraId="59EED557" w14:textId="2C237F00" w:rsidR="00F9563D" w:rsidRDefault="009C19F8" w:rsidP="00F9563D">
      <w:pPr>
        <w:spacing w:before="100" w:beforeAutospacing="1" w:after="100" w:afterAutospacing="1" w:line="240" w:lineRule="auto"/>
        <w:rPr>
          <w:rFonts w:ascii="Times New Roman" w:eastAsia="Times New Roman" w:hAnsi="Times New Roman" w:cs="Times New Roman"/>
          <w:b/>
          <w:bCs/>
          <w:sz w:val="24"/>
          <w:szCs w:val="24"/>
        </w:rPr>
      </w:pPr>
      <w:r w:rsidRPr="009C19F8">
        <w:rPr>
          <w:rFonts w:ascii="Times New Roman" w:eastAsia="Times New Roman" w:hAnsi="Times New Roman" w:cs="Times New Roman"/>
          <w:b/>
          <w:bCs/>
          <w:sz w:val="24"/>
          <w:szCs w:val="24"/>
        </w:rPr>
        <w:t>Retailers</w:t>
      </w:r>
    </w:p>
    <w:p w14:paraId="71A1B8F4" w14:textId="53E960CC" w:rsidR="009C19F8" w:rsidRPr="009C19F8" w:rsidRDefault="009C19F8" w:rsidP="009C19F8">
      <w:pPr>
        <w:pStyle w:val="ListParagraph"/>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C19F8">
        <w:rPr>
          <w:rFonts w:ascii="Times New Roman" w:eastAsia="Times New Roman" w:hAnsi="Times New Roman" w:cs="Times New Roman"/>
          <w:sz w:val="24"/>
          <w:szCs w:val="24"/>
        </w:rPr>
        <w:t>Continue strong partnerships with top-performing retailers. Offer performance-based incentives to motivate even higher sales volumes</w:t>
      </w:r>
      <w:r>
        <w:rPr>
          <w:rFonts w:ascii="Times New Roman" w:eastAsia="Times New Roman" w:hAnsi="Times New Roman" w:cs="Times New Roman"/>
          <w:sz w:val="24"/>
          <w:szCs w:val="24"/>
        </w:rPr>
        <w:t>.</w:t>
      </w:r>
    </w:p>
    <w:p w14:paraId="11C5B8B2" w14:textId="419B2C87" w:rsidR="0026697E" w:rsidRDefault="0026697E" w:rsidP="0026697E">
      <w:pPr>
        <w:spacing w:line="360" w:lineRule="auto"/>
        <w:jc w:val="both"/>
        <w:rPr>
          <w:rFonts w:ascii="Times New Roman" w:hAnsi="Times New Roman" w:cs="Times New Roman"/>
          <w:b/>
          <w:bCs/>
          <w:sz w:val="24"/>
          <w:szCs w:val="24"/>
        </w:rPr>
      </w:pPr>
      <w:r w:rsidRPr="0026697E">
        <w:rPr>
          <w:rFonts w:ascii="Times New Roman" w:hAnsi="Times New Roman" w:cs="Times New Roman"/>
          <w:b/>
          <w:bCs/>
          <w:sz w:val="24"/>
          <w:szCs w:val="24"/>
        </w:rPr>
        <w:t>Conclusion</w:t>
      </w:r>
    </w:p>
    <w:p w14:paraId="42FB7C9D" w14:textId="35B08898" w:rsidR="0026697E" w:rsidRPr="0026697E" w:rsidRDefault="009C19F8" w:rsidP="009C19F8">
      <w:pPr>
        <w:spacing w:line="360" w:lineRule="auto"/>
        <w:jc w:val="both"/>
        <w:rPr>
          <w:rFonts w:ascii="Times New Roman" w:hAnsi="Times New Roman" w:cs="Times New Roman"/>
          <w:sz w:val="24"/>
          <w:szCs w:val="24"/>
        </w:rPr>
      </w:pPr>
      <w:r w:rsidRPr="009C19F8">
        <w:rPr>
          <w:rFonts w:ascii="Times New Roman" w:hAnsi="Times New Roman" w:cs="Times New Roman"/>
          <w:sz w:val="24"/>
          <w:szCs w:val="24"/>
        </w:rPr>
        <w:t>The Adidas sales performance from 2020 to 2021 shows a strong upward trajectory, especially in 2021. High-demand products like men’s footwear and women’s apparel are driving both revenue and volume. Certain regions and states consistently outperform others and should be the focus of marketing and logistics efforts. By acting on the insights from this report—particularly in inventory planning, regional expansion, and retail partnerships—Adidas can further strengthen its market position and drive continued growth</w:t>
      </w:r>
      <w:r>
        <w:rPr>
          <w:rFonts w:ascii="Times New Roman" w:hAnsi="Times New Roman" w:cs="Times New Roman"/>
          <w:sz w:val="24"/>
          <w:szCs w:val="24"/>
        </w:rPr>
        <w:t>.</w:t>
      </w:r>
    </w:p>
    <w:sectPr w:rsidR="0026697E" w:rsidRPr="00266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2859"/>
    <w:multiLevelType w:val="hybridMultilevel"/>
    <w:tmpl w:val="4DB6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713B3"/>
    <w:multiLevelType w:val="hybridMultilevel"/>
    <w:tmpl w:val="BA8A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A4D32"/>
    <w:multiLevelType w:val="multilevel"/>
    <w:tmpl w:val="91BA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A46E4"/>
    <w:multiLevelType w:val="hybridMultilevel"/>
    <w:tmpl w:val="9D46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92B02"/>
    <w:multiLevelType w:val="hybridMultilevel"/>
    <w:tmpl w:val="4502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336AE"/>
    <w:multiLevelType w:val="hybridMultilevel"/>
    <w:tmpl w:val="1FFC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8239F"/>
    <w:multiLevelType w:val="hybridMultilevel"/>
    <w:tmpl w:val="6B38E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C20B0"/>
    <w:multiLevelType w:val="hybridMultilevel"/>
    <w:tmpl w:val="7048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7F42C5"/>
    <w:multiLevelType w:val="multilevel"/>
    <w:tmpl w:val="8344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72639"/>
    <w:multiLevelType w:val="hybridMultilevel"/>
    <w:tmpl w:val="2662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2A3143"/>
    <w:multiLevelType w:val="hybridMultilevel"/>
    <w:tmpl w:val="06E8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AC1829"/>
    <w:multiLevelType w:val="hybridMultilevel"/>
    <w:tmpl w:val="29342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32C32D7"/>
    <w:multiLevelType w:val="hybridMultilevel"/>
    <w:tmpl w:val="7E1A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14E6"/>
    <w:multiLevelType w:val="hybridMultilevel"/>
    <w:tmpl w:val="C194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523146"/>
    <w:multiLevelType w:val="hybridMultilevel"/>
    <w:tmpl w:val="227E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B075C6"/>
    <w:multiLevelType w:val="hybridMultilevel"/>
    <w:tmpl w:val="EB22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9C51CD"/>
    <w:multiLevelType w:val="hybridMultilevel"/>
    <w:tmpl w:val="E88E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C02847"/>
    <w:multiLevelType w:val="hybridMultilevel"/>
    <w:tmpl w:val="E5D6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526956"/>
    <w:multiLevelType w:val="hybridMultilevel"/>
    <w:tmpl w:val="4324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B448F5"/>
    <w:multiLevelType w:val="hybridMultilevel"/>
    <w:tmpl w:val="588A1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B534B7B"/>
    <w:multiLevelType w:val="hybridMultilevel"/>
    <w:tmpl w:val="C02E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951FFE"/>
    <w:multiLevelType w:val="hybridMultilevel"/>
    <w:tmpl w:val="0134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DE5632"/>
    <w:multiLevelType w:val="hybridMultilevel"/>
    <w:tmpl w:val="F2D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0A6A76"/>
    <w:multiLevelType w:val="hybridMultilevel"/>
    <w:tmpl w:val="5030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D30948"/>
    <w:multiLevelType w:val="hybridMultilevel"/>
    <w:tmpl w:val="76947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416431"/>
    <w:multiLevelType w:val="hybridMultilevel"/>
    <w:tmpl w:val="11D0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925E11"/>
    <w:multiLevelType w:val="hybridMultilevel"/>
    <w:tmpl w:val="0666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3B4E8B"/>
    <w:multiLevelType w:val="multilevel"/>
    <w:tmpl w:val="6BFE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6145E5"/>
    <w:multiLevelType w:val="hybridMultilevel"/>
    <w:tmpl w:val="3C12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023B6B"/>
    <w:multiLevelType w:val="hybridMultilevel"/>
    <w:tmpl w:val="79927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D73404"/>
    <w:multiLevelType w:val="hybridMultilevel"/>
    <w:tmpl w:val="6114A9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407E6B6D"/>
    <w:multiLevelType w:val="hybridMultilevel"/>
    <w:tmpl w:val="FEA0F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A3C1DCC"/>
    <w:multiLevelType w:val="hybridMultilevel"/>
    <w:tmpl w:val="997C8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4E483D"/>
    <w:multiLevelType w:val="hybridMultilevel"/>
    <w:tmpl w:val="FF1E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985DCE"/>
    <w:multiLevelType w:val="multilevel"/>
    <w:tmpl w:val="BFFE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D63F0E"/>
    <w:multiLevelType w:val="hybridMultilevel"/>
    <w:tmpl w:val="9C944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E331C9"/>
    <w:multiLevelType w:val="hybridMultilevel"/>
    <w:tmpl w:val="6184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B549A"/>
    <w:multiLevelType w:val="multilevel"/>
    <w:tmpl w:val="BA40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2A3CF3"/>
    <w:multiLevelType w:val="hybridMultilevel"/>
    <w:tmpl w:val="F5AE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AA4B95"/>
    <w:multiLevelType w:val="hybridMultilevel"/>
    <w:tmpl w:val="B618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642B8E"/>
    <w:multiLevelType w:val="hybridMultilevel"/>
    <w:tmpl w:val="2966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B42033"/>
    <w:multiLevelType w:val="hybridMultilevel"/>
    <w:tmpl w:val="7B4C8E1C"/>
    <w:lvl w:ilvl="0" w:tplc="4B8CC5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42152A"/>
    <w:multiLevelType w:val="hybridMultilevel"/>
    <w:tmpl w:val="39E0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A02E08"/>
    <w:multiLevelType w:val="multilevel"/>
    <w:tmpl w:val="592C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CA1C09"/>
    <w:multiLevelType w:val="hybridMultilevel"/>
    <w:tmpl w:val="60725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3355F8"/>
    <w:multiLevelType w:val="hybridMultilevel"/>
    <w:tmpl w:val="90C6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C44DF4"/>
    <w:multiLevelType w:val="multilevel"/>
    <w:tmpl w:val="7F04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74674F"/>
    <w:multiLevelType w:val="hybridMultilevel"/>
    <w:tmpl w:val="F880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18791B"/>
    <w:multiLevelType w:val="hybridMultilevel"/>
    <w:tmpl w:val="A426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EDD75B3"/>
    <w:multiLevelType w:val="hybridMultilevel"/>
    <w:tmpl w:val="6C6E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6D55DF"/>
    <w:multiLevelType w:val="multilevel"/>
    <w:tmpl w:val="4658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144852"/>
    <w:multiLevelType w:val="hybridMultilevel"/>
    <w:tmpl w:val="7FA0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C315BF"/>
    <w:multiLevelType w:val="hybridMultilevel"/>
    <w:tmpl w:val="CAF8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690A87"/>
    <w:multiLevelType w:val="hybridMultilevel"/>
    <w:tmpl w:val="389A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EC76DC"/>
    <w:multiLevelType w:val="hybridMultilevel"/>
    <w:tmpl w:val="29E4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9A0DC7"/>
    <w:multiLevelType w:val="hybridMultilevel"/>
    <w:tmpl w:val="9E18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D03BE9"/>
    <w:multiLevelType w:val="hybridMultilevel"/>
    <w:tmpl w:val="2BA22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7055388">
    <w:abstractNumId w:val="41"/>
  </w:num>
  <w:num w:numId="2" w16cid:durableId="520827613">
    <w:abstractNumId w:val="56"/>
  </w:num>
  <w:num w:numId="3" w16cid:durableId="1865554786">
    <w:abstractNumId w:val="19"/>
  </w:num>
  <w:num w:numId="4" w16cid:durableId="1441291783">
    <w:abstractNumId w:val="53"/>
  </w:num>
  <w:num w:numId="5" w16cid:durableId="746801175">
    <w:abstractNumId w:val="40"/>
  </w:num>
  <w:num w:numId="6" w16cid:durableId="1476919490">
    <w:abstractNumId w:val="50"/>
  </w:num>
  <w:num w:numId="7" w16cid:durableId="310138314">
    <w:abstractNumId w:val="51"/>
  </w:num>
  <w:num w:numId="8" w16cid:durableId="1254557074">
    <w:abstractNumId w:val="48"/>
  </w:num>
  <w:num w:numId="9" w16cid:durableId="962658556">
    <w:abstractNumId w:val="54"/>
  </w:num>
  <w:num w:numId="10" w16cid:durableId="1711953947">
    <w:abstractNumId w:val="33"/>
  </w:num>
  <w:num w:numId="11" w16cid:durableId="610631339">
    <w:abstractNumId w:val="23"/>
  </w:num>
  <w:num w:numId="12" w16cid:durableId="507868732">
    <w:abstractNumId w:val="26"/>
  </w:num>
  <w:num w:numId="13" w16cid:durableId="768356332">
    <w:abstractNumId w:val="18"/>
  </w:num>
  <w:num w:numId="14" w16cid:durableId="287126188">
    <w:abstractNumId w:val="24"/>
  </w:num>
  <w:num w:numId="15" w16cid:durableId="537663389">
    <w:abstractNumId w:val="10"/>
  </w:num>
  <w:num w:numId="16" w16cid:durableId="509488097">
    <w:abstractNumId w:val="13"/>
  </w:num>
  <w:num w:numId="17" w16cid:durableId="443428188">
    <w:abstractNumId w:val="42"/>
  </w:num>
  <w:num w:numId="18" w16cid:durableId="1869642819">
    <w:abstractNumId w:val="44"/>
  </w:num>
  <w:num w:numId="19" w16cid:durableId="1002590375">
    <w:abstractNumId w:val="39"/>
  </w:num>
  <w:num w:numId="20" w16cid:durableId="220940999">
    <w:abstractNumId w:val="55"/>
  </w:num>
  <w:num w:numId="21" w16cid:durableId="1807047696">
    <w:abstractNumId w:val="16"/>
  </w:num>
  <w:num w:numId="22" w16cid:durableId="881358806">
    <w:abstractNumId w:val="20"/>
  </w:num>
  <w:num w:numId="23" w16cid:durableId="1061096071">
    <w:abstractNumId w:val="3"/>
  </w:num>
  <w:num w:numId="24" w16cid:durableId="861087973">
    <w:abstractNumId w:val="46"/>
  </w:num>
  <w:num w:numId="25" w16cid:durableId="1536699930">
    <w:abstractNumId w:val="8"/>
  </w:num>
  <w:num w:numId="26" w16cid:durableId="751779519">
    <w:abstractNumId w:val="34"/>
  </w:num>
  <w:num w:numId="27" w16cid:durableId="1495489792">
    <w:abstractNumId w:val="37"/>
  </w:num>
  <w:num w:numId="28" w16cid:durableId="220483307">
    <w:abstractNumId w:val="2"/>
  </w:num>
  <w:num w:numId="29" w16cid:durableId="540287347">
    <w:abstractNumId w:val="43"/>
  </w:num>
  <w:num w:numId="30" w16cid:durableId="2005274749">
    <w:abstractNumId w:val="27"/>
  </w:num>
  <w:num w:numId="31" w16cid:durableId="1465929054">
    <w:abstractNumId w:val="45"/>
  </w:num>
  <w:num w:numId="32" w16cid:durableId="90052434">
    <w:abstractNumId w:val="32"/>
  </w:num>
  <w:num w:numId="33" w16cid:durableId="907498579">
    <w:abstractNumId w:val="29"/>
  </w:num>
  <w:num w:numId="34" w16cid:durableId="1114524090">
    <w:abstractNumId w:val="14"/>
  </w:num>
  <w:num w:numId="35" w16cid:durableId="1748962299">
    <w:abstractNumId w:val="35"/>
  </w:num>
  <w:num w:numId="36" w16cid:durableId="1539393971">
    <w:abstractNumId w:val="6"/>
  </w:num>
  <w:num w:numId="37" w16cid:durableId="1589994830">
    <w:abstractNumId w:val="30"/>
  </w:num>
  <w:num w:numId="38" w16cid:durableId="707266318">
    <w:abstractNumId w:val="38"/>
  </w:num>
  <w:num w:numId="39" w16cid:durableId="794639894">
    <w:abstractNumId w:val="0"/>
  </w:num>
  <w:num w:numId="40" w16cid:durableId="737438137">
    <w:abstractNumId w:val="17"/>
  </w:num>
  <w:num w:numId="41" w16cid:durableId="90518259">
    <w:abstractNumId w:val="31"/>
  </w:num>
  <w:num w:numId="42" w16cid:durableId="1070931472">
    <w:abstractNumId w:val="11"/>
  </w:num>
  <w:num w:numId="43" w16cid:durableId="1774591334">
    <w:abstractNumId w:val="4"/>
  </w:num>
  <w:num w:numId="44" w16cid:durableId="833691559">
    <w:abstractNumId w:val="7"/>
  </w:num>
  <w:num w:numId="45" w16cid:durableId="413094447">
    <w:abstractNumId w:val="15"/>
  </w:num>
  <w:num w:numId="46" w16cid:durableId="422187338">
    <w:abstractNumId w:val="1"/>
  </w:num>
  <w:num w:numId="47" w16cid:durableId="543324194">
    <w:abstractNumId w:val="5"/>
  </w:num>
  <w:num w:numId="48" w16cid:durableId="1834292923">
    <w:abstractNumId w:val="21"/>
  </w:num>
  <w:num w:numId="49" w16cid:durableId="1882009390">
    <w:abstractNumId w:val="28"/>
  </w:num>
  <w:num w:numId="50" w16cid:durableId="1658724087">
    <w:abstractNumId w:val="22"/>
  </w:num>
  <w:num w:numId="51" w16cid:durableId="1788040324">
    <w:abstractNumId w:val="9"/>
  </w:num>
  <w:num w:numId="52" w16cid:durableId="2075275716">
    <w:abstractNumId w:val="49"/>
  </w:num>
  <w:num w:numId="53" w16cid:durableId="1286159361">
    <w:abstractNumId w:val="25"/>
  </w:num>
  <w:num w:numId="54" w16cid:durableId="693383796">
    <w:abstractNumId w:val="36"/>
  </w:num>
  <w:num w:numId="55" w16cid:durableId="1698312101">
    <w:abstractNumId w:val="12"/>
  </w:num>
  <w:num w:numId="56" w16cid:durableId="1706440823">
    <w:abstractNumId w:val="47"/>
  </w:num>
  <w:num w:numId="57" w16cid:durableId="135005831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83"/>
    <w:rsid w:val="000163E6"/>
    <w:rsid w:val="000253A5"/>
    <w:rsid w:val="00034DDA"/>
    <w:rsid w:val="000A52A2"/>
    <w:rsid w:val="000C014C"/>
    <w:rsid w:val="000C5F1B"/>
    <w:rsid w:val="000D4331"/>
    <w:rsid w:val="000F1E46"/>
    <w:rsid w:val="000F2365"/>
    <w:rsid w:val="00102421"/>
    <w:rsid w:val="00122F3F"/>
    <w:rsid w:val="00130007"/>
    <w:rsid w:val="001453A5"/>
    <w:rsid w:val="00154D74"/>
    <w:rsid w:val="00187A9F"/>
    <w:rsid w:val="00237CFD"/>
    <w:rsid w:val="00240F45"/>
    <w:rsid w:val="002627C3"/>
    <w:rsid w:val="0026697E"/>
    <w:rsid w:val="002A11DB"/>
    <w:rsid w:val="002C020D"/>
    <w:rsid w:val="002E021A"/>
    <w:rsid w:val="00305D08"/>
    <w:rsid w:val="00326C8F"/>
    <w:rsid w:val="00352B87"/>
    <w:rsid w:val="00355586"/>
    <w:rsid w:val="0036403A"/>
    <w:rsid w:val="003E254D"/>
    <w:rsid w:val="003E4CE9"/>
    <w:rsid w:val="004221D5"/>
    <w:rsid w:val="00422B29"/>
    <w:rsid w:val="0046161B"/>
    <w:rsid w:val="00507DB7"/>
    <w:rsid w:val="00513D44"/>
    <w:rsid w:val="00554A83"/>
    <w:rsid w:val="0056096D"/>
    <w:rsid w:val="005B06E7"/>
    <w:rsid w:val="00607129"/>
    <w:rsid w:val="0062368E"/>
    <w:rsid w:val="0064392A"/>
    <w:rsid w:val="00663F3C"/>
    <w:rsid w:val="006A1CFA"/>
    <w:rsid w:val="006A6730"/>
    <w:rsid w:val="006C1C44"/>
    <w:rsid w:val="007A03D5"/>
    <w:rsid w:val="007C6E21"/>
    <w:rsid w:val="007E7686"/>
    <w:rsid w:val="007F7C91"/>
    <w:rsid w:val="008328E0"/>
    <w:rsid w:val="00933158"/>
    <w:rsid w:val="00966980"/>
    <w:rsid w:val="00984F51"/>
    <w:rsid w:val="009C19F8"/>
    <w:rsid w:val="00A30787"/>
    <w:rsid w:val="00AB1EBA"/>
    <w:rsid w:val="00AE031C"/>
    <w:rsid w:val="00AE65EC"/>
    <w:rsid w:val="00AF3C6C"/>
    <w:rsid w:val="00B379C3"/>
    <w:rsid w:val="00B4011C"/>
    <w:rsid w:val="00B46A62"/>
    <w:rsid w:val="00BA067E"/>
    <w:rsid w:val="00BF5C32"/>
    <w:rsid w:val="00C07950"/>
    <w:rsid w:val="00C508B7"/>
    <w:rsid w:val="00C70265"/>
    <w:rsid w:val="00C94A60"/>
    <w:rsid w:val="00D0798E"/>
    <w:rsid w:val="00D10E10"/>
    <w:rsid w:val="00D662C1"/>
    <w:rsid w:val="00D71F0F"/>
    <w:rsid w:val="00D850ED"/>
    <w:rsid w:val="00DF0AE5"/>
    <w:rsid w:val="00E216D6"/>
    <w:rsid w:val="00E52964"/>
    <w:rsid w:val="00E576F7"/>
    <w:rsid w:val="00EB17B6"/>
    <w:rsid w:val="00EB3BD1"/>
    <w:rsid w:val="00EB6AC2"/>
    <w:rsid w:val="00EC57F4"/>
    <w:rsid w:val="00EE3DF3"/>
    <w:rsid w:val="00F672C7"/>
    <w:rsid w:val="00F94960"/>
    <w:rsid w:val="00F9563D"/>
    <w:rsid w:val="00FB537B"/>
    <w:rsid w:val="00FD07B4"/>
    <w:rsid w:val="00FE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1BB4"/>
  <w15:chartTrackingRefBased/>
  <w15:docId w15:val="{DD335C80-586D-4315-AD1B-A62495AD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A83"/>
    <w:pPr>
      <w:ind w:left="720"/>
      <w:contextualSpacing/>
    </w:pPr>
  </w:style>
  <w:style w:type="character" w:styleId="Emphasis">
    <w:name w:val="Emphasis"/>
    <w:basedOn w:val="DefaultParagraphFont"/>
    <w:uiPriority w:val="20"/>
    <w:qFormat/>
    <w:rsid w:val="002C02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92047">
      <w:bodyDiv w:val="1"/>
      <w:marLeft w:val="0"/>
      <w:marRight w:val="0"/>
      <w:marTop w:val="0"/>
      <w:marBottom w:val="0"/>
      <w:divBdr>
        <w:top w:val="none" w:sz="0" w:space="0" w:color="auto"/>
        <w:left w:val="none" w:sz="0" w:space="0" w:color="auto"/>
        <w:bottom w:val="none" w:sz="0" w:space="0" w:color="auto"/>
        <w:right w:val="none" w:sz="0" w:space="0" w:color="auto"/>
      </w:divBdr>
    </w:div>
    <w:div w:id="121114291">
      <w:bodyDiv w:val="1"/>
      <w:marLeft w:val="0"/>
      <w:marRight w:val="0"/>
      <w:marTop w:val="0"/>
      <w:marBottom w:val="0"/>
      <w:divBdr>
        <w:top w:val="none" w:sz="0" w:space="0" w:color="auto"/>
        <w:left w:val="none" w:sz="0" w:space="0" w:color="auto"/>
        <w:bottom w:val="none" w:sz="0" w:space="0" w:color="auto"/>
        <w:right w:val="none" w:sz="0" w:space="0" w:color="auto"/>
      </w:divBdr>
    </w:div>
    <w:div w:id="133183258">
      <w:bodyDiv w:val="1"/>
      <w:marLeft w:val="0"/>
      <w:marRight w:val="0"/>
      <w:marTop w:val="0"/>
      <w:marBottom w:val="0"/>
      <w:divBdr>
        <w:top w:val="none" w:sz="0" w:space="0" w:color="auto"/>
        <w:left w:val="none" w:sz="0" w:space="0" w:color="auto"/>
        <w:bottom w:val="none" w:sz="0" w:space="0" w:color="auto"/>
        <w:right w:val="none" w:sz="0" w:space="0" w:color="auto"/>
      </w:divBdr>
    </w:div>
    <w:div w:id="157889941">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
    <w:div w:id="187716348">
      <w:bodyDiv w:val="1"/>
      <w:marLeft w:val="0"/>
      <w:marRight w:val="0"/>
      <w:marTop w:val="0"/>
      <w:marBottom w:val="0"/>
      <w:divBdr>
        <w:top w:val="none" w:sz="0" w:space="0" w:color="auto"/>
        <w:left w:val="none" w:sz="0" w:space="0" w:color="auto"/>
        <w:bottom w:val="none" w:sz="0" w:space="0" w:color="auto"/>
        <w:right w:val="none" w:sz="0" w:space="0" w:color="auto"/>
      </w:divBdr>
    </w:div>
    <w:div w:id="325398691">
      <w:bodyDiv w:val="1"/>
      <w:marLeft w:val="0"/>
      <w:marRight w:val="0"/>
      <w:marTop w:val="0"/>
      <w:marBottom w:val="0"/>
      <w:divBdr>
        <w:top w:val="none" w:sz="0" w:space="0" w:color="auto"/>
        <w:left w:val="none" w:sz="0" w:space="0" w:color="auto"/>
        <w:bottom w:val="none" w:sz="0" w:space="0" w:color="auto"/>
        <w:right w:val="none" w:sz="0" w:space="0" w:color="auto"/>
      </w:divBdr>
    </w:div>
    <w:div w:id="339501945">
      <w:bodyDiv w:val="1"/>
      <w:marLeft w:val="0"/>
      <w:marRight w:val="0"/>
      <w:marTop w:val="0"/>
      <w:marBottom w:val="0"/>
      <w:divBdr>
        <w:top w:val="none" w:sz="0" w:space="0" w:color="auto"/>
        <w:left w:val="none" w:sz="0" w:space="0" w:color="auto"/>
        <w:bottom w:val="none" w:sz="0" w:space="0" w:color="auto"/>
        <w:right w:val="none" w:sz="0" w:space="0" w:color="auto"/>
      </w:divBdr>
    </w:div>
    <w:div w:id="376711125">
      <w:bodyDiv w:val="1"/>
      <w:marLeft w:val="0"/>
      <w:marRight w:val="0"/>
      <w:marTop w:val="0"/>
      <w:marBottom w:val="0"/>
      <w:divBdr>
        <w:top w:val="none" w:sz="0" w:space="0" w:color="auto"/>
        <w:left w:val="none" w:sz="0" w:space="0" w:color="auto"/>
        <w:bottom w:val="none" w:sz="0" w:space="0" w:color="auto"/>
        <w:right w:val="none" w:sz="0" w:space="0" w:color="auto"/>
      </w:divBdr>
    </w:div>
    <w:div w:id="464086838">
      <w:bodyDiv w:val="1"/>
      <w:marLeft w:val="0"/>
      <w:marRight w:val="0"/>
      <w:marTop w:val="0"/>
      <w:marBottom w:val="0"/>
      <w:divBdr>
        <w:top w:val="none" w:sz="0" w:space="0" w:color="auto"/>
        <w:left w:val="none" w:sz="0" w:space="0" w:color="auto"/>
        <w:bottom w:val="none" w:sz="0" w:space="0" w:color="auto"/>
        <w:right w:val="none" w:sz="0" w:space="0" w:color="auto"/>
      </w:divBdr>
    </w:div>
    <w:div w:id="575096277">
      <w:bodyDiv w:val="1"/>
      <w:marLeft w:val="0"/>
      <w:marRight w:val="0"/>
      <w:marTop w:val="0"/>
      <w:marBottom w:val="0"/>
      <w:divBdr>
        <w:top w:val="none" w:sz="0" w:space="0" w:color="auto"/>
        <w:left w:val="none" w:sz="0" w:space="0" w:color="auto"/>
        <w:bottom w:val="none" w:sz="0" w:space="0" w:color="auto"/>
        <w:right w:val="none" w:sz="0" w:space="0" w:color="auto"/>
      </w:divBdr>
    </w:div>
    <w:div w:id="581640358">
      <w:bodyDiv w:val="1"/>
      <w:marLeft w:val="0"/>
      <w:marRight w:val="0"/>
      <w:marTop w:val="0"/>
      <w:marBottom w:val="0"/>
      <w:divBdr>
        <w:top w:val="none" w:sz="0" w:space="0" w:color="auto"/>
        <w:left w:val="none" w:sz="0" w:space="0" w:color="auto"/>
        <w:bottom w:val="none" w:sz="0" w:space="0" w:color="auto"/>
        <w:right w:val="none" w:sz="0" w:space="0" w:color="auto"/>
      </w:divBdr>
    </w:div>
    <w:div w:id="596596094">
      <w:bodyDiv w:val="1"/>
      <w:marLeft w:val="0"/>
      <w:marRight w:val="0"/>
      <w:marTop w:val="0"/>
      <w:marBottom w:val="0"/>
      <w:divBdr>
        <w:top w:val="none" w:sz="0" w:space="0" w:color="auto"/>
        <w:left w:val="none" w:sz="0" w:space="0" w:color="auto"/>
        <w:bottom w:val="none" w:sz="0" w:space="0" w:color="auto"/>
        <w:right w:val="none" w:sz="0" w:space="0" w:color="auto"/>
      </w:divBdr>
    </w:div>
    <w:div w:id="599067339">
      <w:bodyDiv w:val="1"/>
      <w:marLeft w:val="0"/>
      <w:marRight w:val="0"/>
      <w:marTop w:val="0"/>
      <w:marBottom w:val="0"/>
      <w:divBdr>
        <w:top w:val="none" w:sz="0" w:space="0" w:color="auto"/>
        <w:left w:val="none" w:sz="0" w:space="0" w:color="auto"/>
        <w:bottom w:val="none" w:sz="0" w:space="0" w:color="auto"/>
        <w:right w:val="none" w:sz="0" w:space="0" w:color="auto"/>
      </w:divBdr>
    </w:div>
    <w:div w:id="694843556">
      <w:bodyDiv w:val="1"/>
      <w:marLeft w:val="0"/>
      <w:marRight w:val="0"/>
      <w:marTop w:val="0"/>
      <w:marBottom w:val="0"/>
      <w:divBdr>
        <w:top w:val="none" w:sz="0" w:space="0" w:color="auto"/>
        <w:left w:val="none" w:sz="0" w:space="0" w:color="auto"/>
        <w:bottom w:val="none" w:sz="0" w:space="0" w:color="auto"/>
        <w:right w:val="none" w:sz="0" w:space="0" w:color="auto"/>
      </w:divBdr>
    </w:div>
    <w:div w:id="839660891">
      <w:bodyDiv w:val="1"/>
      <w:marLeft w:val="0"/>
      <w:marRight w:val="0"/>
      <w:marTop w:val="0"/>
      <w:marBottom w:val="0"/>
      <w:divBdr>
        <w:top w:val="none" w:sz="0" w:space="0" w:color="auto"/>
        <w:left w:val="none" w:sz="0" w:space="0" w:color="auto"/>
        <w:bottom w:val="none" w:sz="0" w:space="0" w:color="auto"/>
        <w:right w:val="none" w:sz="0" w:space="0" w:color="auto"/>
      </w:divBdr>
    </w:div>
    <w:div w:id="985235268">
      <w:bodyDiv w:val="1"/>
      <w:marLeft w:val="0"/>
      <w:marRight w:val="0"/>
      <w:marTop w:val="0"/>
      <w:marBottom w:val="0"/>
      <w:divBdr>
        <w:top w:val="none" w:sz="0" w:space="0" w:color="auto"/>
        <w:left w:val="none" w:sz="0" w:space="0" w:color="auto"/>
        <w:bottom w:val="none" w:sz="0" w:space="0" w:color="auto"/>
        <w:right w:val="none" w:sz="0" w:space="0" w:color="auto"/>
      </w:divBdr>
    </w:div>
    <w:div w:id="994723684">
      <w:bodyDiv w:val="1"/>
      <w:marLeft w:val="0"/>
      <w:marRight w:val="0"/>
      <w:marTop w:val="0"/>
      <w:marBottom w:val="0"/>
      <w:divBdr>
        <w:top w:val="none" w:sz="0" w:space="0" w:color="auto"/>
        <w:left w:val="none" w:sz="0" w:space="0" w:color="auto"/>
        <w:bottom w:val="none" w:sz="0" w:space="0" w:color="auto"/>
        <w:right w:val="none" w:sz="0" w:space="0" w:color="auto"/>
      </w:divBdr>
    </w:div>
    <w:div w:id="1004017203">
      <w:bodyDiv w:val="1"/>
      <w:marLeft w:val="0"/>
      <w:marRight w:val="0"/>
      <w:marTop w:val="0"/>
      <w:marBottom w:val="0"/>
      <w:divBdr>
        <w:top w:val="none" w:sz="0" w:space="0" w:color="auto"/>
        <w:left w:val="none" w:sz="0" w:space="0" w:color="auto"/>
        <w:bottom w:val="none" w:sz="0" w:space="0" w:color="auto"/>
        <w:right w:val="none" w:sz="0" w:space="0" w:color="auto"/>
      </w:divBdr>
    </w:div>
    <w:div w:id="1108235593">
      <w:bodyDiv w:val="1"/>
      <w:marLeft w:val="0"/>
      <w:marRight w:val="0"/>
      <w:marTop w:val="0"/>
      <w:marBottom w:val="0"/>
      <w:divBdr>
        <w:top w:val="none" w:sz="0" w:space="0" w:color="auto"/>
        <w:left w:val="none" w:sz="0" w:space="0" w:color="auto"/>
        <w:bottom w:val="none" w:sz="0" w:space="0" w:color="auto"/>
        <w:right w:val="none" w:sz="0" w:space="0" w:color="auto"/>
      </w:divBdr>
    </w:div>
    <w:div w:id="1121800932">
      <w:bodyDiv w:val="1"/>
      <w:marLeft w:val="0"/>
      <w:marRight w:val="0"/>
      <w:marTop w:val="0"/>
      <w:marBottom w:val="0"/>
      <w:divBdr>
        <w:top w:val="none" w:sz="0" w:space="0" w:color="auto"/>
        <w:left w:val="none" w:sz="0" w:space="0" w:color="auto"/>
        <w:bottom w:val="none" w:sz="0" w:space="0" w:color="auto"/>
        <w:right w:val="none" w:sz="0" w:space="0" w:color="auto"/>
      </w:divBdr>
    </w:div>
    <w:div w:id="1177772823">
      <w:bodyDiv w:val="1"/>
      <w:marLeft w:val="0"/>
      <w:marRight w:val="0"/>
      <w:marTop w:val="0"/>
      <w:marBottom w:val="0"/>
      <w:divBdr>
        <w:top w:val="none" w:sz="0" w:space="0" w:color="auto"/>
        <w:left w:val="none" w:sz="0" w:space="0" w:color="auto"/>
        <w:bottom w:val="none" w:sz="0" w:space="0" w:color="auto"/>
        <w:right w:val="none" w:sz="0" w:space="0" w:color="auto"/>
      </w:divBdr>
    </w:div>
    <w:div w:id="1188982939">
      <w:bodyDiv w:val="1"/>
      <w:marLeft w:val="0"/>
      <w:marRight w:val="0"/>
      <w:marTop w:val="0"/>
      <w:marBottom w:val="0"/>
      <w:divBdr>
        <w:top w:val="none" w:sz="0" w:space="0" w:color="auto"/>
        <w:left w:val="none" w:sz="0" w:space="0" w:color="auto"/>
        <w:bottom w:val="none" w:sz="0" w:space="0" w:color="auto"/>
        <w:right w:val="none" w:sz="0" w:space="0" w:color="auto"/>
      </w:divBdr>
    </w:div>
    <w:div w:id="1214583744">
      <w:bodyDiv w:val="1"/>
      <w:marLeft w:val="0"/>
      <w:marRight w:val="0"/>
      <w:marTop w:val="0"/>
      <w:marBottom w:val="0"/>
      <w:divBdr>
        <w:top w:val="none" w:sz="0" w:space="0" w:color="auto"/>
        <w:left w:val="none" w:sz="0" w:space="0" w:color="auto"/>
        <w:bottom w:val="none" w:sz="0" w:space="0" w:color="auto"/>
        <w:right w:val="none" w:sz="0" w:space="0" w:color="auto"/>
      </w:divBdr>
    </w:div>
    <w:div w:id="1223758025">
      <w:bodyDiv w:val="1"/>
      <w:marLeft w:val="0"/>
      <w:marRight w:val="0"/>
      <w:marTop w:val="0"/>
      <w:marBottom w:val="0"/>
      <w:divBdr>
        <w:top w:val="none" w:sz="0" w:space="0" w:color="auto"/>
        <w:left w:val="none" w:sz="0" w:space="0" w:color="auto"/>
        <w:bottom w:val="none" w:sz="0" w:space="0" w:color="auto"/>
        <w:right w:val="none" w:sz="0" w:space="0" w:color="auto"/>
      </w:divBdr>
    </w:div>
    <w:div w:id="1305696320">
      <w:bodyDiv w:val="1"/>
      <w:marLeft w:val="0"/>
      <w:marRight w:val="0"/>
      <w:marTop w:val="0"/>
      <w:marBottom w:val="0"/>
      <w:divBdr>
        <w:top w:val="none" w:sz="0" w:space="0" w:color="auto"/>
        <w:left w:val="none" w:sz="0" w:space="0" w:color="auto"/>
        <w:bottom w:val="none" w:sz="0" w:space="0" w:color="auto"/>
        <w:right w:val="none" w:sz="0" w:space="0" w:color="auto"/>
      </w:divBdr>
    </w:div>
    <w:div w:id="1336956419">
      <w:bodyDiv w:val="1"/>
      <w:marLeft w:val="0"/>
      <w:marRight w:val="0"/>
      <w:marTop w:val="0"/>
      <w:marBottom w:val="0"/>
      <w:divBdr>
        <w:top w:val="none" w:sz="0" w:space="0" w:color="auto"/>
        <w:left w:val="none" w:sz="0" w:space="0" w:color="auto"/>
        <w:bottom w:val="none" w:sz="0" w:space="0" w:color="auto"/>
        <w:right w:val="none" w:sz="0" w:space="0" w:color="auto"/>
      </w:divBdr>
    </w:div>
    <w:div w:id="1396245781">
      <w:bodyDiv w:val="1"/>
      <w:marLeft w:val="0"/>
      <w:marRight w:val="0"/>
      <w:marTop w:val="0"/>
      <w:marBottom w:val="0"/>
      <w:divBdr>
        <w:top w:val="none" w:sz="0" w:space="0" w:color="auto"/>
        <w:left w:val="none" w:sz="0" w:space="0" w:color="auto"/>
        <w:bottom w:val="none" w:sz="0" w:space="0" w:color="auto"/>
        <w:right w:val="none" w:sz="0" w:space="0" w:color="auto"/>
      </w:divBdr>
    </w:div>
    <w:div w:id="1476291967">
      <w:bodyDiv w:val="1"/>
      <w:marLeft w:val="0"/>
      <w:marRight w:val="0"/>
      <w:marTop w:val="0"/>
      <w:marBottom w:val="0"/>
      <w:divBdr>
        <w:top w:val="none" w:sz="0" w:space="0" w:color="auto"/>
        <w:left w:val="none" w:sz="0" w:space="0" w:color="auto"/>
        <w:bottom w:val="none" w:sz="0" w:space="0" w:color="auto"/>
        <w:right w:val="none" w:sz="0" w:space="0" w:color="auto"/>
      </w:divBdr>
    </w:div>
    <w:div w:id="1476677192">
      <w:bodyDiv w:val="1"/>
      <w:marLeft w:val="0"/>
      <w:marRight w:val="0"/>
      <w:marTop w:val="0"/>
      <w:marBottom w:val="0"/>
      <w:divBdr>
        <w:top w:val="none" w:sz="0" w:space="0" w:color="auto"/>
        <w:left w:val="none" w:sz="0" w:space="0" w:color="auto"/>
        <w:bottom w:val="none" w:sz="0" w:space="0" w:color="auto"/>
        <w:right w:val="none" w:sz="0" w:space="0" w:color="auto"/>
      </w:divBdr>
    </w:div>
    <w:div w:id="1506240734">
      <w:bodyDiv w:val="1"/>
      <w:marLeft w:val="0"/>
      <w:marRight w:val="0"/>
      <w:marTop w:val="0"/>
      <w:marBottom w:val="0"/>
      <w:divBdr>
        <w:top w:val="none" w:sz="0" w:space="0" w:color="auto"/>
        <w:left w:val="none" w:sz="0" w:space="0" w:color="auto"/>
        <w:bottom w:val="none" w:sz="0" w:space="0" w:color="auto"/>
        <w:right w:val="none" w:sz="0" w:space="0" w:color="auto"/>
      </w:divBdr>
    </w:div>
    <w:div w:id="1678536132">
      <w:bodyDiv w:val="1"/>
      <w:marLeft w:val="0"/>
      <w:marRight w:val="0"/>
      <w:marTop w:val="0"/>
      <w:marBottom w:val="0"/>
      <w:divBdr>
        <w:top w:val="none" w:sz="0" w:space="0" w:color="auto"/>
        <w:left w:val="none" w:sz="0" w:space="0" w:color="auto"/>
        <w:bottom w:val="none" w:sz="0" w:space="0" w:color="auto"/>
        <w:right w:val="none" w:sz="0" w:space="0" w:color="auto"/>
      </w:divBdr>
    </w:div>
    <w:div w:id="1678845831">
      <w:bodyDiv w:val="1"/>
      <w:marLeft w:val="0"/>
      <w:marRight w:val="0"/>
      <w:marTop w:val="0"/>
      <w:marBottom w:val="0"/>
      <w:divBdr>
        <w:top w:val="none" w:sz="0" w:space="0" w:color="auto"/>
        <w:left w:val="none" w:sz="0" w:space="0" w:color="auto"/>
        <w:bottom w:val="none" w:sz="0" w:space="0" w:color="auto"/>
        <w:right w:val="none" w:sz="0" w:space="0" w:color="auto"/>
      </w:divBdr>
    </w:div>
    <w:div w:id="1741099247">
      <w:bodyDiv w:val="1"/>
      <w:marLeft w:val="0"/>
      <w:marRight w:val="0"/>
      <w:marTop w:val="0"/>
      <w:marBottom w:val="0"/>
      <w:divBdr>
        <w:top w:val="none" w:sz="0" w:space="0" w:color="auto"/>
        <w:left w:val="none" w:sz="0" w:space="0" w:color="auto"/>
        <w:bottom w:val="none" w:sz="0" w:space="0" w:color="auto"/>
        <w:right w:val="none" w:sz="0" w:space="0" w:color="auto"/>
      </w:divBdr>
    </w:div>
    <w:div w:id="1797093314">
      <w:bodyDiv w:val="1"/>
      <w:marLeft w:val="0"/>
      <w:marRight w:val="0"/>
      <w:marTop w:val="0"/>
      <w:marBottom w:val="0"/>
      <w:divBdr>
        <w:top w:val="none" w:sz="0" w:space="0" w:color="auto"/>
        <w:left w:val="none" w:sz="0" w:space="0" w:color="auto"/>
        <w:bottom w:val="none" w:sz="0" w:space="0" w:color="auto"/>
        <w:right w:val="none" w:sz="0" w:space="0" w:color="auto"/>
      </w:divBdr>
    </w:div>
    <w:div w:id="1807697847">
      <w:bodyDiv w:val="1"/>
      <w:marLeft w:val="0"/>
      <w:marRight w:val="0"/>
      <w:marTop w:val="0"/>
      <w:marBottom w:val="0"/>
      <w:divBdr>
        <w:top w:val="none" w:sz="0" w:space="0" w:color="auto"/>
        <w:left w:val="none" w:sz="0" w:space="0" w:color="auto"/>
        <w:bottom w:val="none" w:sz="0" w:space="0" w:color="auto"/>
        <w:right w:val="none" w:sz="0" w:space="0" w:color="auto"/>
      </w:divBdr>
    </w:div>
    <w:div w:id="1898470469">
      <w:bodyDiv w:val="1"/>
      <w:marLeft w:val="0"/>
      <w:marRight w:val="0"/>
      <w:marTop w:val="0"/>
      <w:marBottom w:val="0"/>
      <w:divBdr>
        <w:top w:val="none" w:sz="0" w:space="0" w:color="auto"/>
        <w:left w:val="none" w:sz="0" w:space="0" w:color="auto"/>
        <w:bottom w:val="none" w:sz="0" w:space="0" w:color="auto"/>
        <w:right w:val="none" w:sz="0" w:space="0" w:color="auto"/>
      </w:divBdr>
    </w:div>
    <w:div w:id="1924215372">
      <w:bodyDiv w:val="1"/>
      <w:marLeft w:val="0"/>
      <w:marRight w:val="0"/>
      <w:marTop w:val="0"/>
      <w:marBottom w:val="0"/>
      <w:divBdr>
        <w:top w:val="none" w:sz="0" w:space="0" w:color="auto"/>
        <w:left w:val="none" w:sz="0" w:space="0" w:color="auto"/>
        <w:bottom w:val="none" w:sz="0" w:space="0" w:color="auto"/>
        <w:right w:val="none" w:sz="0" w:space="0" w:color="auto"/>
      </w:divBdr>
    </w:div>
    <w:div w:id="1925798480">
      <w:bodyDiv w:val="1"/>
      <w:marLeft w:val="0"/>
      <w:marRight w:val="0"/>
      <w:marTop w:val="0"/>
      <w:marBottom w:val="0"/>
      <w:divBdr>
        <w:top w:val="none" w:sz="0" w:space="0" w:color="auto"/>
        <w:left w:val="none" w:sz="0" w:space="0" w:color="auto"/>
        <w:bottom w:val="none" w:sz="0" w:space="0" w:color="auto"/>
        <w:right w:val="none" w:sz="0" w:space="0" w:color="auto"/>
      </w:divBdr>
    </w:div>
    <w:div w:id="2020740895">
      <w:bodyDiv w:val="1"/>
      <w:marLeft w:val="0"/>
      <w:marRight w:val="0"/>
      <w:marTop w:val="0"/>
      <w:marBottom w:val="0"/>
      <w:divBdr>
        <w:top w:val="none" w:sz="0" w:space="0" w:color="auto"/>
        <w:left w:val="none" w:sz="0" w:space="0" w:color="auto"/>
        <w:bottom w:val="none" w:sz="0" w:space="0" w:color="auto"/>
        <w:right w:val="none" w:sz="0" w:space="0" w:color="auto"/>
      </w:divBdr>
    </w:div>
    <w:div w:id="2044667107">
      <w:bodyDiv w:val="1"/>
      <w:marLeft w:val="0"/>
      <w:marRight w:val="0"/>
      <w:marTop w:val="0"/>
      <w:marBottom w:val="0"/>
      <w:divBdr>
        <w:top w:val="none" w:sz="0" w:space="0" w:color="auto"/>
        <w:left w:val="none" w:sz="0" w:space="0" w:color="auto"/>
        <w:bottom w:val="none" w:sz="0" w:space="0" w:color="auto"/>
        <w:right w:val="none" w:sz="0" w:space="0" w:color="auto"/>
      </w:divBdr>
    </w:div>
    <w:div w:id="2047442635">
      <w:bodyDiv w:val="1"/>
      <w:marLeft w:val="0"/>
      <w:marRight w:val="0"/>
      <w:marTop w:val="0"/>
      <w:marBottom w:val="0"/>
      <w:divBdr>
        <w:top w:val="none" w:sz="0" w:space="0" w:color="auto"/>
        <w:left w:val="none" w:sz="0" w:space="0" w:color="auto"/>
        <w:bottom w:val="none" w:sz="0" w:space="0" w:color="auto"/>
        <w:right w:val="none" w:sz="0" w:space="0" w:color="auto"/>
      </w:divBdr>
    </w:div>
    <w:div w:id="21272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Final%20project%2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Final%20project%2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cuments\Final%20project%20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cuments\Final%20project%20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cuments\Final%20project%20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ocuments\Final%20project%205.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[Final project 5.xlsx]Product by sales!PivotTable5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bg2">
                    <a:lumMod val="10000"/>
                  </a:schemeClr>
                </a:solidFill>
              </a:rPr>
              <a:t>Top products by sales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bg2">
                <a:lumMod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bg2">
                <a:lumMod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solidFill>
              <a:schemeClr val="bg2">
                <a:lumMod val="1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bg2">
              <a:lumMod val="10000"/>
            </a:schemeClr>
          </a:solidFill>
          <a:ln>
            <a:noFill/>
          </a:ln>
          <a:effectLst/>
        </c:spPr>
      </c:pivotFmt>
      <c:pivotFmt>
        <c:idx val="5"/>
        <c:spPr>
          <a:solidFill>
            <a:schemeClr val="bg2">
              <a:lumMod val="25000"/>
            </a:schemeClr>
          </a:solidFill>
          <a:ln>
            <a:noFill/>
          </a:ln>
          <a:effectLst/>
        </c:spPr>
      </c:pivotFmt>
      <c:pivotFmt>
        <c:idx val="6"/>
        <c:spPr>
          <a:solidFill>
            <a:schemeClr val="bg2">
              <a:lumMod val="50000"/>
            </a:schemeClr>
          </a:solidFill>
          <a:ln>
            <a:noFill/>
          </a:ln>
          <a:effectLst/>
        </c:spPr>
      </c:pivotFmt>
      <c:pivotFmt>
        <c:idx val="7"/>
        <c:spPr>
          <a:solidFill>
            <a:schemeClr val="bg2">
              <a:lumMod val="75000"/>
            </a:schemeClr>
          </a:solidFill>
          <a:ln>
            <a:noFill/>
          </a:ln>
          <a:effectLst/>
        </c:spPr>
      </c:pivotFmt>
      <c:pivotFmt>
        <c:idx val="8"/>
        <c:spPr>
          <a:solidFill>
            <a:schemeClr val="bg2">
              <a:lumMod val="90000"/>
            </a:schemeClr>
          </a:solidFill>
          <a:ln>
            <a:noFill/>
          </a:ln>
          <a:effectLst/>
        </c:spPr>
      </c:pivotFmt>
      <c:pivotFmt>
        <c:idx val="9"/>
        <c:spPr>
          <a:solidFill>
            <a:schemeClr val="bg2">
              <a:lumMod val="90000"/>
            </a:schemeClr>
          </a:solidFill>
          <a:ln>
            <a:noFill/>
          </a:ln>
          <a:effectLst/>
        </c:spPr>
      </c:pivotFmt>
      <c:pivotFmt>
        <c:idx val="10"/>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bg2">
              <a:lumMod val="10000"/>
            </a:schemeClr>
          </a:solidFill>
          <a:ln>
            <a:noFill/>
          </a:ln>
          <a:effectLst/>
        </c:spPr>
      </c:pivotFmt>
      <c:pivotFmt>
        <c:idx val="12"/>
        <c:spPr>
          <a:solidFill>
            <a:schemeClr val="bg2">
              <a:lumMod val="25000"/>
            </a:schemeClr>
          </a:solidFill>
          <a:ln>
            <a:noFill/>
          </a:ln>
          <a:effectLst/>
        </c:spPr>
      </c:pivotFmt>
      <c:pivotFmt>
        <c:idx val="13"/>
        <c:spPr>
          <a:solidFill>
            <a:schemeClr val="bg2">
              <a:lumMod val="50000"/>
            </a:schemeClr>
          </a:solidFill>
          <a:ln>
            <a:noFill/>
          </a:ln>
          <a:effectLst/>
        </c:spPr>
      </c:pivotFmt>
      <c:pivotFmt>
        <c:idx val="14"/>
        <c:spPr>
          <a:solidFill>
            <a:schemeClr val="bg2">
              <a:lumMod val="75000"/>
            </a:schemeClr>
          </a:solidFill>
          <a:ln>
            <a:noFill/>
          </a:ln>
          <a:effectLst/>
        </c:spPr>
      </c:pivotFmt>
      <c:pivotFmt>
        <c:idx val="15"/>
        <c:spPr>
          <a:solidFill>
            <a:schemeClr val="bg2">
              <a:lumMod val="90000"/>
            </a:schemeClr>
          </a:solidFill>
          <a:ln>
            <a:noFill/>
          </a:ln>
          <a:effectLst/>
        </c:spPr>
      </c:pivotFmt>
      <c:pivotFmt>
        <c:idx val="16"/>
        <c:spPr>
          <a:solidFill>
            <a:schemeClr val="bg2">
              <a:lumMod val="90000"/>
            </a:schemeClr>
          </a:solidFill>
          <a:ln>
            <a:noFill/>
          </a:ln>
          <a:effectLst/>
        </c:spPr>
      </c:pivotFmt>
      <c:pivotFmt>
        <c:idx val="17"/>
        <c:spPr>
          <a:solidFill>
            <a:schemeClr val="bg2">
              <a:lumMod val="10000"/>
            </a:schemeClr>
          </a:solidFill>
          <a:ln>
            <a:noFill/>
          </a:ln>
          <a:effectLst/>
        </c:spPr>
      </c:pivotFmt>
      <c:pivotFmt>
        <c:idx val="18"/>
        <c:spPr>
          <a:solidFill>
            <a:schemeClr val="bg2">
              <a:lumMod val="25000"/>
            </a:schemeClr>
          </a:solidFill>
          <a:ln>
            <a:noFill/>
          </a:ln>
          <a:effectLst/>
        </c:spPr>
      </c:pivotFmt>
      <c:pivotFmt>
        <c:idx val="19"/>
        <c:spPr>
          <a:solidFill>
            <a:schemeClr val="bg2">
              <a:lumMod val="50000"/>
            </a:schemeClr>
          </a:solidFill>
          <a:ln>
            <a:noFill/>
          </a:ln>
          <a:effectLst/>
        </c:spPr>
      </c:pivotFmt>
      <c:pivotFmt>
        <c:idx val="20"/>
        <c:spPr>
          <a:solidFill>
            <a:schemeClr val="bg2">
              <a:lumMod val="75000"/>
            </a:schemeClr>
          </a:solidFill>
          <a:ln>
            <a:noFill/>
          </a:ln>
          <a:effectLst/>
        </c:spPr>
      </c:pivotFmt>
      <c:pivotFmt>
        <c:idx val="21"/>
        <c:spPr>
          <a:solidFill>
            <a:schemeClr val="bg2">
              <a:lumMod val="90000"/>
            </a:schemeClr>
          </a:solidFill>
          <a:ln>
            <a:noFill/>
          </a:ln>
          <a:effectLst/>
        </c:spPr>
      </c:pivotFmt>
      <c:pivotFmt>
        <c:idx val="22"/>
        <c:spPr>
          <a:solidFill>
            <a:schemeClr val="bg2">
              <a:lumMod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bg2">
              <a:lumMod val="10000"/>
            </a:schemeClr>
          </a:solidFill>
          <a:ln>
            <a:noFill/>
          </a:ln>
          <a:effectLst/>
        </c:spPr>
      </c:pivotFmt>
      <c:pivotFmt>
        <c:idx val="24"/>
        <c:spPr>
          <a:solidFill>
            <a:schemeClr val="bg2">
              <a:lumMod val="25000"/>
            </a:schemeClr>
          </a:solidFill>
          <a:ln>
            <a:noFill/>
          </a:ln>
          <a:effectLst/>
        </c:spPr>
      </c:pivotFmt>
      <c:pivotFmt>
        <c:idx val="25"/>
        <c:spPr>
          <a:solidFill>
            <a:schemeClr val="bg2">
              <a:lumMod val="50000"/>
            </a:schemeClr>
          </a:solidFill>
          <a:ln>
            <a:noFill/>
          </a:ln>
          <a:effectLst/>
        </c:spPr>
      </c:pivotFmt>
      <c:pivotFmt>
        <c:idx val="26"/>
        <c:spPr>
          <a:solidFill>
            <a:schemeClr val="bg2">
              <a:lumMod val="75000"/>
            </a:schemeClr>
          </a:solidFill>
          <a:ln>
            <a:noFill/>
          </a:ln>
          <a:effectLst/>
        </c:spPr>
      </c:pivotFmt>
      <c:pivotFmt>
        <c:idx val="27"/>
        <c:spPr>
          <a:solidFill>
            <a:schemeClr val="bg2">
              <a:lumMod val="90000"/>
            </a:schemeClr>
          </a:solidFill>
          <a:ln>
            <a:noFill/>
          </a:ln>
          <a:effectLst/>
        </c:spPr>
      </c:pivotFmt>
      <c:pivotFmt>
        <c:idx val="28"/>
        <c:spPr>
          <a:solidFill>
            <a:schemeClr val="bg2">
              <a:lumMod val="25000"/>
            </a:schemeClr>
          </a:solidFill>
          <a:ln>
            <a:noFill/>
          </a:ln>
          <a:effectLst/>
        </c:spPr>
      </c:pivotFmt>
      <c:pivotFmt>
        <c:idx val="29"/>
        <c:spPr>
          <a:solidFill>
            <a:schemeClr val="bg2">
              <a:lumMod val="50000"/>
            </a:schemeClr>
          </a:solidFill>
          <a:ln>
            <a:noFill/>
          </a:ln>
          <a:effectLst/>
        </c:spPr>
      </c:pivotFmt>
      <c:pivotFmt>
        <c:idx val="30"/>
        <c:spPr>
          <a:solidFill>
            <a:schemeClr val="bg2">
              <a:lumMod val="75000"/>
            </a:schemeClr>
          </a:solidFill>
          <a:ln>
            <a:noFill/>
          </a:ln>
          <a:effectLst/>
        </c:spPr>
      </c:pivotFmt>
      <c:pivotFmt>
        <c:idx val="31"/>
        <c:spPr>
          <a:solidFill>
            <a:schemeClr val="bg2">
              <a:lumMod val="90000"/>
            </a:schemeClr>
          </a:solidFill>
          <a:ln>
            <a:noFill/>
          </a:ln>
          <a:effectLst/>
        </c:spPr>
      </c:pivotFmt>
      <c:pivotFmt>
        <c:idx val="32"/>
        <c:spPr>
          <a:solidFill>
            <a:schemeClr val="bg2">
              <a:lumMod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bg2">
              <a:lumMod val="25000"/>
            </a:schemeClr>
          </a:solidFill>
          <a:ln>
            <a:noFill/>
          </a:ln>
          <a:effectLst/>
        </c:spPr>
      </c:pivotFmt>
      <c:pivotFmt>
        <c:idx val="34"/>
        <c:spPr>
          <a:solidFill>
            <a:schemeClr val="bg2">
              <a:lumMod val="50000"/>
            </a:schemeClr>
          </a:solidFill>
          <a:ln>
            <a:noFill/>
          </a:ln>
          <a:effectLst/>
        </c:spPr>
      </c:pivotFmt>
      <c:pivotFmt>
        <c:idx val="35"/>
        <c:spPr>
          <a:solidFill>
            <a:schemeClr val="bg2">
              <a:lumMod val="75000"/>
            </a:schemeClr>
          </a:solidFill>
          <a:ln>
            <a:noFill/>
          </a:ln>
          <a:effectLst/>
        </c:spPr>
      </c:pivotFmt>
      <c:pivotFmt>
        <c:idx val="36"/>
        <c:spPr>
          <a:solidFill>
            <a:schemeClr val="bg2">
              <a:lumMod val="90000"/>
            </a:schemeClr>
          </a:solidFill>
          <a:ln>
            <a:noFill/>
          </a:ln>
          <a:effectLst/>
        </c:spPr>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bg2">
              <a:lumMod val="25000"/>
            </a:schemeClr>
          </a:solidFill>
          <a:ln>
            <a:noFill/>
          </a:ln>
          <a:effectLst/>
        </c:spPr>
      </c:pivotFmt>
      <c:pivotFmt>
        <c:idx val="39"/>
        <c:spPr>
          <a:solidFill>
            <a:schemeClr val="bg2">
              <a:lumMod val="50000"/>
            </a:schemeClr>
          </a:solidFill>
          <a:ln>
            <a:noFill/>
          </a:ln>
          <a:effectLst/>
        </c:spPr>
      </c:pivotFmt>
      <c:pivotFmt>
        <c:idx val="40"/>
        <c:spPr>
          <a:solidFill>
            <a:schemeClr val="bg2">
              <a:lumMod val="75000"/>
            </a:schemeClr>
          </a:solidFill>
          <a:ln>
            <a:noFill/>
          </a:ln>
          <a:effectLst/>
        </c:spPr>
      </c:pivotFmt>
      <c:pivotFmt>
        <c:idx val="41"/>
        <c:spPr>
          <a:solidFill>
            <a:schemeClr val="bg2">
              <a:lumMod val="75000"/>
            </a:schemeClr>
          </a:solidFill>
          <a:ln>
            <a:noFill/>
          </a:ln>
          <a:effectLst/>
        </c:spPr>
      </c:pivotFmt>
      <c:pivotFmt>
        <c:idx val="42"/>
        <c:spPr>
          <a:solidFill>
            <a:schemeClr val="bg2">
              <a:lumMod val="90000"/>
            </a:schemeClr>
          </a:solidFill>
          <a:ln>
            <a:noFill/>
          </a:ln>
          <a:effectLst/>
        </c:spPr>
      </c:pivotFmt>
      <c:pivotFmt>
        <c:idx val="43"/>
        <c:spPr>
          <a:solidFill>
            <a:schemeClr val="bg2">
              <a:lumMod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bg2">
              <a:lumMod val="25000"/>
            </a:schemeClr>
          </a:solidFill>
          <a:ln>
            <a:noFill/>
          </a:ln>
          <a:effectLst/>
        </c:spPr>
      </c:pivotFmt>
      <c:pivotFmt>
        <c:idx val="45"/>
        <c:spPr>
          <a:solidFill>
            <a:schemeClr val="bg2">
              <a:lumMod val="50000"/>
            </a:schemeClr>
          </a:solidFill>
          <a:ln>
            <a:noFill/>
          </a:ln>
          <a:effectLst/>
        </c:spPr>
      </c:pivotFmt>
      <c:pivotFmt>
        <c:idx val="46"/>
        <c:spPr>
          <a:solidFill>
            <a:schemeClr val="bg2">
              <a:lumMod val="75000"/>
            </a:schemeClr>
          </a:solidFill>
          <a:ln>
            <a:noFill/>
          </a:ln>
          <a:effectLst/>
        </c:spPr>
      </c:pivotFmt>
      <c:pivotFmt>
        <c:idx val="47"/>
        <c:spPr>
          <a:solidFill>
            <a:schemeClr val="bg2">
              <a:lumMod val="75000"/>
            </a:schemeClr>
          </a:solidFill>
          <a:ln>
            <a:noFill/>
          </a:ln>
          <a:effectLst/>
        </c:spPr>
      </c:pivotFmt>
      <c:pivotFmt>
        <c:idx val="48"/>
        <c:spPr>
          <a:solidFill>
            <a:schemeClr val="bg2">
              <a:lumMod val="90000"/>
            </a:schemeClr>
          </a:solidFill>
          <a:ln>
            <a:noFill/>
          </a:ln>
          <a:effectLst/>
        </c:spPr>
      </c:pivotFmt>
      <c:pivotFmt>
        <c:idx val="49"/>
        <c:spPr>
          <a:solidFill>
            <a:schemeClr val="bg2">
              <a:lumMod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bg2">
              <a:lumMod val="90000"/>
            </a:schemeClr>
          </a:solidFill>
          <a:ln>
            <a:noFill/>
          </a:ln>
          <a:effectLst/>
        </c:spPr>
      </c:pivotFmt>
      <c:pivotFmt>
        <c:idx val="51"/>
        <c:spPr>
          <a:solidFill>
            <a:schemeClr val="bg2">
              <a:lumMod val="75000"/>
            </a:schemeClr>
          </a:solidFill>
          <a:ln>
            <a:noFill/>
          </a:ln>
          <a:effectLst/>
        </c:spPr>
      </c:pivotFmt>
      <c:pivotFmt>
        <c:idx val="52"/>
        <c:spPr>
          <a:solidFill>
            <a:schemeClr val="bg2">
              <a:lumMod val="75000"/>
            </a:schemeClr>
          </a:solidFill>
          <a:ln>
            <a:noFill/>
          </a:ln>
          <a:effectLst/>
        </c:spPr>
      </c:pivotFmt>
      <c:pivotFmt>
        <c:idx val="53"/>
        <c:spPr>
          <a:solidFill>
            <a:schemeClr val="bg2">
              <a:lumMod val="50000"/>
            </a:schemeClr>
          </a:solidFill>
          <a:ln>
            <a:noFill/>
          </a:ln>
          <a:effectLst/>
        </c:spPr>
      </c:pivotFmt>
      <c:pivotFmt>
        <c:idx val="54"/>
        <c:spPr>
          <a:solidFill>
            <a:schemeClr val="bg2">
              <a:lumMod val="25000"/>
            </a:schemeClr>
          </a:solidFill>
          <a:ln>
            <a:noFill/>
          </a:ln>
          <a:effectLst/>
        </c:spPr>
      </c:pivotFmt>
      <c:pivotFmt>
        <c:idx val="55"/>
        <c:spPr>
          <a:solidFill>
            <a:schemeClr val="bg2">
              <a:lumMod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bg2">
              <a:lumMod val="90000"/>
            </a:schemeClr>
          </a:solidFill>
          <a:ln>
            <a:noFill/>
          </a:ln>
          <a:effectLst/>
        </c:spPr>
      </c:pivotFmt>
      <c:pivotFmt>
        <c:idx val="57"/>
        <c:spPr>
          <a:solidFill>
            <a:schemeClr val="bg2">
              <a:lumMod val="75000"/>
            </a:schemeClr>
          </a:solidFill>
          <a:ln>
            <a:noFill/>
          </a:ln>
          <a:effectLst/>
        </c:spPr>
      </c:pivotFmt>
      <c:pivotFmt>
        <c:idx val="58"/>
        <c:spPr>
          <a:solidFill>
            <a:schemeClr val="bg2">
              <a:lumMod val="75000"/>
            </a:schemeClr>
          </a:solidFill>
          <a:ln>
            <a:noFill/>
          </a:ln>
          <a:effectLst/>
        </c:spPr>
      </c:pivotFmt>
      <c:pivotFmt>
        <c:idx val="59"/>
        <c:spPr>
          <a:solidFill>
            <a:schemeClr val="bg2">
              <a:lumMod val="50000"/>
            </a:schemeClr>
          </a:solidFill>
          <a:ln>
            <a:noFill/>
          </a:ln>
          <a:effectLst/>
        </c:spPr>
      </c:pivotFmt>
      <c:pivotFmt>
        <c:idx val="60"/>
        <c:spPr>
          <a:solidFill>
            <a:schemeClr val="bg2">
              <a:lumMod val="25000"/>
            </a:schemeClr>
          </a:solidFill>
          <a:ln>
            <a:noFill/>
          </a:ln>
          <a:effectLst/>
        </c:spPr>
      </c:pivotFmt>
    </c:pivotFmts>
    <c:plotArea>
      <c:layout>
        <c:manualLayout>
          <c:layoutTarget val="inner"/>
          <c:xMode val="edge"/>
          <c:yMode val="edge"/>
          <c:x val="0.28856304985337244"/>
          <c:y val="0.21800925925925929"/>
          <c:w val="0.68328445747800592"/>
          <c:h val="0.73477653834937295"/>
        </c:manualLayout>
      </c:layout>
      <c:barChart>
        <c:barDir val="bar"/>
        <c:grouping val="clustered"/>
        <c:varyColors val="0"/>
        <c:ser>
          <c:idx val="0"/>
          <c:order val="0"/>
          <c:tx>
            <c:strRef>
              <c:f>'Product by sales'!$B$3</c:f>
              <c:strCache>
                <c:ptCount val="1"/>
                <c:pt idx="0">
                  <c:v>Total</c:v>
                </c:pt>
              </c:strCache>
            </c:strRef>
          </c:tx>
          <c:spPr>
            <a:solidFill>
              <a:schemeClr val="bg2">
                <a:lumMod val="10000"/>
              </a:schemeClr>
            </a:solidFill>
            <a:ln>
              <a:noFill/>
            </a:ln>
            <a:effectLst/>
          </c:spPr>
          <c:invertIfNegative val="0"/>
          <c:dPt>
            <c:idx val="0"/>
            <c:invertIfNegative val="0"/>
            <c:bubble3D val="0"/>
            <c:spPr>
              <a:solidFill>
                <a:schemeClr val="bg2">
                  <a:lumMod val="90000"/>
                </a:schemeClr>
              </a:solidFill>
              <a:ln>
                <a:noFill/>
              </a:ln>
              <a:effectLst/>
            </c:spPr>
            <c:extLst>
              <c:ext xmlns:c16="http://schemas.microsoft.com/office/drawing/2014/chart" uri="{C3380CC4-5D6E-409C-BE32-E72D297353CC}">
                <c16:uniqueId val="{00000001-4ABC-4AB1-B775-E5E693F17682}"/>
              </c:ext>
            </c:extLst>
          </c:dPt>
          <c:dPt>
            <c:idx val="1"/>
            <c:invertIfNegative val="0"/>
            <c:bubble3D val="0"/>
            <c:spPr>
              <a:solidFill>
                <a:schemeClr val="bg2">
                  <a:lumMod val="75000"/>
                </a:schemeClr>
              </a:solidFill>
              <a:ln>
                <a:noFill/>
              </a:ln>
              <a:effectLst/>
            </c:spPr>
            <c:extLst>
              <c:ext xmlns:c16="http://schemas.microsoft.com/office/drawing/2014/chart" uri="{C3380CC4-5D6E-409C-BE32-E72D297353CC}">
                <c16:uniqueId val="{00000003-4ABC-4AB1-B775-E5E693F17682}"/>
              </c:ext>
            </c:extLst>
          </c:dPt>
          <c:dPt>
            <c:idx val="2"/>
            <c:invertIfNegative val="0"/>
            <c:bubble3D val="0"/>
            <c:spPr>
              <a:solidFill>
                <a:schemeClr val="bg2">
                  <a:lumMod val="75000"/>
                </a:schemeClr>
              </a:solidFill>
              <a:ln>
                <a:noFill/>
              </a:ln>
              <a:effectLst/>
            </c:spPr>
            <c:extLst>
              <c:ext xmlns:c16="http://schemas.microsoft.com/office/drawing/2014/chart" uri="{C3380CC4-5D6E-409C-BE32-E72D297353CC}">
                <c16:uniqueId val="{00000005-4ABC-4AB1-B775-E5E693F17682}"/>
              </c:ext>
            </c:extLst>
          </c:dPt>
          <c:dPt>
            <c:idx val="3"/>
            <c:invertIfNegative val="0"/>
            <c:bubble3D val="0"/>
            <c:spPr>
              <a:solidFill>
                <a:schemeClr val="bg2">
                  <a:lumMod val="50000"/>
                </a:schemeClr>
              </a:solidFill>
              <a:ln>
                <a:noFill/>
              </a:ln>
              <a:effectLst/>
            </c:spPr>
            <c:extLst>
              <c:ext xmlns:c16="http://schemas.microsoft.com/office/drawing/2014/chart" uri="{C3380CC4-5D6E-409C-BE32-E72D297353CC}">
                <c16:uniqueId val="{00000007-4ABC-4AB1-B775-E5E693F17682}"/>
              </c:ext>
            </c:extLst>
          </c:dPt>
          <c:dPt>
            <c:idx val="4"/>
            <c:invertIfNegative val="0"/>
            <c:bubble3D val="0"/>
            <c:spPr>
              <a:solidFill>
                <a:schemeClr val="bg2">
                  <a:lumMod val="25000"/>
                </a:schemeClr>
              </a:solidFill>
              <a:ln>
                <a:noFill/>
              </a:ln>
              <a:effectLst/>
            </c:spPr>
            <c:extLst>
              <c:ext xmlns:c16="http://schemas.microsoft.com/office/drawing/2014/chart" uri="{C3380CC4-5D6E-409C-BE32-E72D297353CC}">
                <c16:uniqueId val="{00000009-4ABC-4AB1-B775-E5E693F17682}"/>
              </c:ext>
            </c:extLst>
          </c:dPt>
          <c:dPt>
            <c:idx val="5"/>
            <c:invertIfNegative val="0"/>
            <c:bubble3D val="0"/>
            <c:extLst>
              <c:ext xmlns:c16="http://schemas.microsoft.com/office/drawing/2014/chart" uri="{C3380CC4-5D6E-409C-BE32-E72D297353CC}">
                <c16:uniqueId val="{0000000A-4ABC-4AB1-B775-E5E693F1768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'Product by sales'!$A$4:$A$10</c:f>
              <c:strCache>
                <c:ptCount val="6"/>
                <c:pt idx="0">
                  <c:v>Women's Athletic Footwear</c:v>
                </c:pt>
                <c:pt idx="1">
                  <c:v>Men's Apparel</c:v>
                </c:pt>
                <c:pt idx="2">
                  <c:v>Women's Street Footwear</c:v>
                </c:pt>
                <c:pt idx="3">
                  <c:v>Men's Athletic Footwear</c:v>
                </c:pt>
                <c:pt idx="4">
                  <c:v>Women's Apparel</c:v>
                </c:pt>
                <c:pt idx="5">
                  <c:v>Men's Street Footwear</c:v>
                </c:pt>
              </c:strCache>
            </c:strRef>
          </c:cat>
          <c:val>
            <c:numRef>
              <c:f>'Product by sales'!$B$4:$B$10</c:f>
              <c:numCache>
                <c:formatCode>[&gt;999999]"$"#,###.0,,"M";General</c:formatCode>
                <c:ptCount val="6"/>
                <c:pt idx="0">
                  <c:v>106631896</c:v>
                </c:pt>
                <c:pt idx="1">
                  <c:v>123728632</c:v>
                </c:pt>
                <c:pt idx="2">
                  <c:v>128002813</c:v>
                </c:pt>
                <c:pt idx="3">
                  <c:v>153673680</c:v>
                </c:pt>
                <c:pt idx="4">
                  <c:v>179038860</c:v>
                </c:pt>
                <c:pt idx="5">
                  <c:v>208826244</c:v>
                </c:pt>
              </c:numCache>
            </c:numRef>
          </c:val>
          <c:extLst>
            <c:ext xmlns:c16="http://schemas.microsoft.com/office/drawing/2014/chart" uri="{C3380CC4-5D6E-409C-BE32-E72D297353CC}">
              <c16:uniqueId val="{0000000B-4ABC-4AB1-B775-E5E693F17682}"/>
            </c:ext>
          </c:extLst>
        </c:ser>
        <c:dLbls>
          <c:dLblPos val="outEnd"/>
          <c:showLegendKey val="0"/>
          <c:showVal val="1"/>
          <c:showCatName val="0"/>
          <c:showSerName val="0"/>
          <c:showPercent val="0"/>
          <c:showBubbleSize val="0"/>
        </c:dLbls>
        <c:gapWidth val="44"/>
        <c:axId val="141224296"/>
        <c:axId val="141313376"/>
      </c:barChart>
      <c:catAx>
        <c:axId val="1412242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313376"/>
        <c:crosses val="autoZero"/>
        <c:auto val="1"/>
        <c:lblAlgn val="ctr"/>
        <c:lblOffset val="100"/>
        <c:noMultiLvlLbl val="0"/>
      </c:catAx>
      <c:valAx>
        <c:axId val="141313376"/>
        <c:scaling>
          <c:orientation val="minMax"/>
        </c:scaling>
        <c:delete val="1"/>
        <c:axPos val="b"/>
        <c:numFmt formatCode="[&gt;999999]&quot;$&quot;#,###.0,,&quot;M&quot;;General" sourceLinked="1"/>
        <c:majorTickMark val="none"/>
        <c:minorTickMark val="none"/>
        <c:tickLblPos val="nextTo"/>
        <c:crossAx val="141224296"/>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[Final project 5.xlsx]Sales trends !PivotTable5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bg2">
                    <a:lumMod val="10000"/>
                  </a:schemeClr>
                </a:solidFill>
              </a:rPr>
              <a:t>Sales and profit trends across the years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bg2">
                <a:lumMod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bg2">
                <a:lumMod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bg2">
                <a:lumMod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bg2">
                <a:lumMod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'Sales trends '!$B$3</c:f>
              <c:strCache>
                <c:ptCount val="1"/>
                <c:pt idx="0">
                  <c:v>Total</c:v>
                </c:pt>
              </c:strCache>
            </c:strRef>
          </c:tx>
          <c:spPr>
            <a:ln w="28575" cap="rnd">
              <a:solidFill>
                <a:schemeClr val="bg2">
                  <a:lumMod val="1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'Sales trends '!$A$4:$A$14</c:f>
              <c:multiLvlStrCache>
                <c:ptCount val="8"/>
                <c:lvl>
                  <c:pt idx="0">
                    <c:v>Qtr1</c:v>
                  </c:pt>
                  <c:pt idx="1">
                    <c:v>Qtr2</c:v>
                  </c:pt>
                  <c:pt idx="2">
                    <c:v>Qtr3</c:v>
                  </c:pt>
                  <c:pt idx="3">
                    <c:v>Qtr4</c:v>
                  </c:pt>
                  <c:pt idx="4">
                    <c:v>Qtr1</c:v>
                  </c:pt>
                  <c:pt idx="5">
                    <c:v>Qtr2</c:v>
                  </c:pt>
                  <c:pt idx="6">
                    <c:v>Qtr3</c:v>
                  </c:pt>
                  <c:pt idx="7">
                    <c:v>Qtr4</c:v>
                  </c:pt>
                </c:lvl>
                <c:lvl>
                  <c:pt idx="0">
                    <c:v>2020</c:v>
                  </c:pt>
                  <c:pt idx="4">
                    <c:v>2021</c:v>
                  </c:pt>
                </c:lvl>
              </c:multiLvlStrCache>
            </c:multiLvlStrRef>
          </c:cat>
          <c:val>
            <c:numRef>
              <c:f>'Sales trends '!$B$4:$B$14</c:f>
              <c:numCache>
                <c:formatCode>[&gt;999999]"$"#,###.0,,"M";General</c:formatCode>
                <c:ptCount val="8"/>
                <c:pt idx="0">
                  <c:v>48912311</c:v>
                </c:pt>
                <c:pt idx="1">
                  <c:v>50354839</c:v>
                </c:pt>
                <c:pt idx="2">
                  <c:v>55328429</c:v>
                </c:pt>
                <c:pt idx="3">
                  <c:v>27485096</c:v>
                </c:pt>
                <c:pt idx="4">
                  <c:v>140476093</c:v>
                </c:pt>
                <c:pt idx="5">
                  <c:v>177240198</c:v>
                </c:pt>
                <c:pt idx="6">
                  <c:v>209979925</c:v>
                </c:pt>
                <c:pt idx="7">
                  <c:v>190125234</c:v>
                </c:pt>
              </c:numCache>
            </c:numRef>
          </c:val>
          <c:smooth val="0"/>
          <c:extLst>
            <c:ext xmlns:c16="http://schemas.microsoft.com/office/drawing/2014/chart" uri="{C3380CC4-5D6E-409C-BE32-E72D297353CC}">
              <c16:uniqueId val="{00000000-D060-42C0-9F09-9559E23FEEEF}"/>
            </c:ext>
          </c:extLst>
        </c:ser>
        <c:dLbls>
          <c:dLblPos val="t"/>
          <c:showLegendKey val="0"/>
          <c:showVal val="1"/>
          <c:showCatName val="0"/>
          <c:showSerName val="0"/>
          <c:showPercent val="0"/>
          <c:showBubbleSize val="0"/>
        </c:dLbls>
        <c:smooth val="0"/>
        <c:axId val="141114944"/>
        <c:axId val="138525216"/>
      </c:lineChart>
      <c:catAx>
        <c:axId val="14111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2">
                    <a:lumMod val="10000"/>
                  </a:schemeClr>
                </a:solidFill>
                <a:latin typeface="+mn-lt"/>
                <a:ea typeface="+mn-ea"/>
                <a:cs typeface="+mn-cs"/>
              </a:defRPr>
            </a:pPr>
            <a:endParaRPr lang="en-US"/>
          </a:p>
        </c:txPr>
        <c:crossAx val="138525216"/>
        <c:crosses val="autoZero"/>
        <c:auto val="1"/>
        <c:lblAlgn val="ctr"/>
        <c:lblOffset val="100"/>
        <c:noMultiLvlLbl val="0"/>
      </c:catAx>
      <c:valAx>
        <c:axId val="138525216"/>
        <c:scaling>
          <c:orientation val="minMax"/>
        </c:scaling>
        <c:delete val="1"/>
        <c:axPos val="l"/>
        <c:numFmt formatCode="[&gt;999999]&quot;$&quot;#,###.0,,&quot;M&quot;;General" sourceLinked="1"/>
        <c:majorTickMark val="none"/>
        <c:minorTickMark val="none"/>
        <c:tickLblPos val="nextTo"/>
        <c:crossAx val="141114944"/>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[Final project 5.xlsx]Sales by region!PivotTable5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bg2">
                    <a:lumMod val="10000"/>
                  </a:schemeClr>
                </a:solidFill>
              </a:rPr>
              <a:t>Total sales by regions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bg2">
                <a:lumMod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bg2">
                <a:lumMod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solidFill>
              <a:schemeClr val="bg2">
                <a:lumMod val="1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bg2">
              <a:lumMod val="10000"/>
            </a:schemeClr>
          </a:solidFill>
          <a:ln>
            <a:noFill/>
          </a:ln>
          <a:effectLst/>
        </c:spPr>
      </c:pivotFmt>
      <c:pivotFmt>
        <c:idx val="5"/>
        <c:spPr>
          <a:solidFill>
            <a:schemeClr val="bg2">
              <a:lumMod val="25000"/>
            </a:schemeClr>
          </a:solidFill>
          <a:ln>
            <a:noFill/>
          </a:ln>
          <a:effectLst/>
        </c:spPr>
      </c:pivotFmt>
      <c:pivotFmt>
        <c:idx val="6"/>
        <c:spPr>
          <a:solidFill>
            <a:schemeClr val="bg2">
              <a:lumMod val="50000"/>
            </a:schemeClr>
          </a:solidFill>
          <a:ln>
            <a:noFill/>
          </a:ln>
          <a:effectLst/>
        </c:spPr>
      </c:pivotFmt>
      <c:pivotFmt>
        <c:idx val="7"/>
        <c:spPr>
          <a:solidFill>
            <a:schemeClr val="bg2">
              <a:lumMod val="75000"/>
            </a:schemeClr>
          </a:solidFill>
          <a:ln>
            <a:noFill/>
          </a:ln>
          <a:effectLst/>
        </c:spPr>
      </c:pivotFmt>
      <c:pivotFmt>
        <c:idx val="8"/>
        <c:spPr>
          <a:solidFill>
            <a:schemeClr val="bg2">
              <a:lumMod val="90000"/>
            </a:schemeClr>
          </a:solidFill>
          <a:ln>
            <a:noFill/>
          </a:ln>
          <a:effectLst/>
        </c:spPr>
      </c:pivotFmt>
      <c:pivotFmt>
        <c:idx val="9"/>
        <c:spPr>
          <a:solidFill>
            <a:schemeClr val="bg2">
              <a:lumMod val="90000"/>
            </a:schemeClr>
          </a:solidFill>
          <a:ln>
            <a:noFill/>
          </a:ln>
          <a:effectLst/>
        </c:spPr>
      </c:pivotFmt>
      <c:pivotFmt>
        <c:idx val="10"/>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bg2">
              <a:lumMod val="10000"/>
            </a:schemeClr>
          </a:solidFill>
          <a:ln>
            <a:noFill/>
          </a:ln>
          <a:effectLst/>
        </c:spPr>
      </c:pivotFmt>
      <c:pivotFmt>
        <c:idx val="12"/>
        <c:spPr>
          <a:solidFill>
            <a:schemeClr val="bg2">
              <a:lumMod val="25000"/>
            </a:schemeClr>
          </a:solidFill>
          <a:ln>
            <a:noFill/>
          </a:ln>
          <a:effectLst/>
        </c:spPr>
      </c:pivotFmt>
      <c:pivotFmt>
        <c:idx val="13"/>
        <c:spPr>
          <a:solidFill>
            <a:schemeClr val="bg2">
              <a:lumMod val="50000"/>
            </a:schemeClr>
          </a:solidFill>
          <a:ln>
            <a:noFill/>
          </a:ln>
          <a:effectLst/>
        </c:spPr>
      </c:pivotFmt>
      <c:pivotFmt>
        <c:idx val="14"/>
        <c:spPr>
          <a:solidFill>
            <a:schemeClr val="bg2">
              <a:lumMod val="75000"/>
            </a:schemeClr>
          </a:solidFill>
          <a:ln>
            <a:noFill/>
          </a:ln>
          <a:effectLst/>
        </c:spPr>
      </c:pivotFmt>
      <c:pivotFmt>
        <c:idx val="15"/>
        <c:spPr>
          <a:solidFill>
            <a:schemeClr val="bg2">
              <a:lumMod val="90000"/>
            </a:schemeClr>
          </a:solidFill>
          <a:ln>
            <a:noFill/>
          </a:ln>
          <a:effectLst/>
        </c:spPr>
      </c:pivotFmt>
      <c:pivotFmt>
        <c:idx val="16"/>
        <c:spPr>
          <a:solidFill>
            <a:schemeClr val="bg2">
              <a:lumMod val="90000"/>
            </a:schemeClr>
          </a:solidFill>
          <a:ln>
            <a:noFill/>
          </a:ln>
          <a:effectLst/>
        </c:spPr>
      </c:pivotFmt>
      <c:pivotFmt>
        <c:idx val="17"/>
        <c:spPr>
          <a:solidFill>
            <a:schemeClr val="bg2">
              <a:lumMod val="10000"/>
            </a:schemeClr>
          </a:solidFill>
          <a:ln>
            <a:noFill/>
          </a:ln>
          <a:effectLst/>
        </c:spPr>
      </c:pivotFmt>
      <c:pivotFmt>
        <c:idx val="18"/>
        <c:spPr>
          <a:solidFill>
            <a:schemeClr val="bg2">
              <a:lumMod val="25000"/>
            </a:schemeClr>
          </a:solidFill>
          <a:ln>
            <a:noFill/>
          </a:ln>
          <a:effectLst/>
        </c:spPr>
      </c:pivotFmt>
      <c:pivotFmt>
        <c:idx val="19"/>
        <c:spPr>
          <a:solidFill>
            <a:schemeClr val="bg2">
              <a:lumMod val="50000"/>
            </a:schemeClr>
          </a:solidFill>
          <a:ln>
            <a:noFill/>
          </a:ln>
          <a:effectLst/>
        </c:spPr>
      </c:pivotFmt>
      <c:pivotFmt>
        <c:idx val="20"/>
        <c:spPr>
          <a:solidFill>
            <a:schemeClr val="bg2">
              <a:lumMod val="75000"/>
            </a:schemeClr>
          </a:solidFill>
          <a:ln>
            <a:noFill/>
          </a:ln>
          <a:effectLst/>
        </c:spPr>
      </c:pivotFmt>
      <c:pivotFmt>
        <c:idx val="21"/>
        <c:spPr>
          <a:solidFill>
            <a:schemeClr val="bg2">
              <a:lumMod val="90000"/>
            </a:schemeClr>
          </a:solidFill>
          <a:ln>
            <a:noFill/>
          </a:ln>
          <a:effectLst/>
        </c:spPr>
      </c:pivotFmt>
      <c:pivotFmt>
        <c:idx val="22"/>
        <c:spPr>
          <a:solidFill>
            <a:schemeClr val="bg2">
              <a:lumMod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bg2">
              <a:lumMod val="10000"/>
            </a:schemeClr>
          </a:solidFill>
          <a:ln>
            <a:noFill/>
          </a:ln>
          <a:effectLst/>
        </c:spPr>
      </c:pivotFmt>
      <c:pivotFmt>
        <c:idx val="24"/>
        <c:spPr>
          <a:solidFill>
            <a:schemeClr val="bg2">
              <a:lumMod val="25000"/>
            </a:schemeClr>
          </a:solidFill>
          <a:ln>
            <a:noFill/>
          </a:ln>
          <a:effectLst/>
        </c:spPr>
      </c:pivotFmt>
      <c:pivotFmt>
        <c:idx val="25"/>
        <c:spPr>
          <a:solidFill>
            <a:schemeClr val="bg2">
              <a:lumMod val="50000"/>
            </a:schemeClr>
          </a:solidFill>
          <a:ln>
            <a:noFill/>
          </a:ln>
          <a:effectLst/>
        </c:spPr>
      </c:pivotFmt>
      <c:pivotFmt>
        <c:idx val="26"/>
        <c:spPr>
          <a:solidFill>
            <a:schemeClr val="bg2">
              <a:lumMod val="75000"/>
            </a:schemeClr>
          </a:solidFill>
          <a:ln>
            <a:noFill/>
          </a:ln>
          <a:effectLst/>
        </c:spPr>
      </c:pivotFmt>
      <c:pivotFmt>
        <c:idx val="27"/>
        <c:spPr>
          <a:solidFill>
            <a:schemeClr val="bg2">
              <a:lumMod val="90000"/>
            </a:schemeClr>
          </a:solidFill>
          <a:ln>
            <a:noFill/>
          </a:ln>
          <a:effectLst/>
        </c:spPr>
      </c:pivotFmt>
      <c:pivotFmt>
        <c:idx val="28"/>
        <c:spPr>
          <a:solidFill>
            <a:schemeClr val="bg2">
              <a:lumMod val="25000"/>
            </a:schemeClr>
          </a:solidFill>
          <a:ln>
            <a:noFill/>
          </a:ln>
          <a:effectLst/>
        </c:spPr>
      </c:pivotFmt>
      <c:pivotFmt>
        <c:idx val="29"/>
        <c:spPr>
          <a:solidFill>
            <a:schemeClr val="bg2">
              <a:lumMod val="50000"/>
            </a:schemeClr>
          </a:solidFill>
          <a:ln>
            <a:noFill/>
          </a:ln>
          <a:effectLst/>
        </c:spPr>
      </c:pivotFmt>
      <c:pivotFmt>
        <c:idx val="30"/>
        <c:spPr>
          <a:solidFill>
            <a:schemeClr val="bg2">
              <a:lumMod val="75000"/>
            </a:schemeClr>
          </a:solidFill>
          <a:ln>
            <a:noFill/>
          </a:ln>
          <a:effectLst/>
        </c:spPr>
      </c:pivotFmt>
      <c:pivotFmt>
        <c:idx val="31"/>
        <c:spPr>
          <a:solidFill>
            <a:schemeClr val="bg2">
              <a:lumMod val="90000"/>
            </a:schemeClr>
          </a:solidFill>
          <a:ln>
            <a:noFill/>
          </a:ln>
          <a:effectLst/>
        </c:spPr>
      </c:pivotFmt>
      <c:pivotFmt>
        <c:idx val="32"/>
        <c:spPr>
          <a:solidFill>
            <a:schemeClr val="bg2">
              <a:lumMod val="10000"/>
            </a:schemeClr>
          </a:solidFill>
          <a:ln>
            <a:noFill/>
          </a:ln>
          <a:effectLst/>
        </c:spPr>
        <c:dLbl>
          <c:idx val="0"/>
          <c:layout>
            <c:manualLayout>
              <c:x val="1.6504931895981831E-2"/>
              <c:y val="-6.944444444444444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bg2">
              <a:lumMod val="25000"/>
            </a:schemeClr>
          </a:solidFill>
          <a:ln>
            <a:noFill/>
          </a:ln>
          <a:effectLst/>
        </c:spPr>
        <c:dLbl>
          <c:idx val="0"/>
          <c:layout>
            <c:manualLayout>
              <c:x val="3.4453057708871533E-2"/>
              <c:y val="8.4875562720133283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bg2">
              <a:lumMod val="50000"/>
            </a:schemeClr>
          </a:solidFill>
          <a:ln>
            <a:noFill/>
          </a:ln>
          <a:effectLst/>
        </c:spPr>
        <c:dLbl>
          <c:idx val="0"/>
          <c:layout>
            <c:manualLayout>
              <c:x val="-2.0671834625322998E-2"/>
              <c:y val="9.2592592592592587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bg2">
              <a:lumMod val="75000"/>
            </a:schemeClr>
          </a:solidFill>
          <a:ln>
            <a:noFill/>
          </a:ln>
          <a:effectLst/>
        </c:spPr>
        <c:dLbl>
          <c:idx val="0"/>
          <c:layout>
            <c:manualLayout>
              <c:x val="-6.8906115417743325E-3"/>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bg2">
              <a:lumMod val="90000"/>
            </a:schemeClr>
          </a:solidFill>
          <a:ln>
            <a:noFill/>
          </a:ln>
          <a:effectLst/>
        </c:spPr>
        <c:dLbl>
          <c:idx val="0"/>
          <c:layout>
            <c:manualLayout>
              <c:x val="-6.8906115417743637E-3"/>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bg2">
              <a:lumMod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bg2">
              <a:lumMod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bg2">
              <a:lumMod val="10000"/>
            </a:schemeClr>
          </a:solidFill>
          <a:ln>
            <a:noFill/>
          </a:ln>
          <a:effectLst/>
        </c:spPr>
        <c:dLbl>
          <c:idx val="0"/>
          <c:layout>
            <c:manualLayout>
              <c:x val="1.6504931895981831E-2"/>
              <c:y val="-6.944444444444444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bg2">
              <a:lumMod val="25000"/>
            </a:schemeClr>
          </a:solidFill>
          <a:ln>
            <a:noFill/>
          </a:ln>
          <a:effectLst/>
        </c:spPr>
        <c:dLbl>
          <c:idx val="0"/>
          <c:layout>
            <c:manualLayout>
              <c:x val="3.4453057708871533E-2"/>
              <c:y val="8.4875562720133283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bg2">
              <a:lumMod val="50000"/>
            </a:schemeClr>
          </a:solidFill>
          <a:ln>
            <a:noFill/>
          </a:ln>
          <a:effectLst/>
        </c:spPr>
        <c:dLbl>
          <c:idx val="0"/>
          <c:layout>
            <c:manualLayout>
              <c:x val="-2.0671834625322998E-2"/>
              <c:y val="9.2592592592592587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bg2">
              <a:lumMod val="75000"/>
            </a:schemeClr>
          </a:solidFill>
          <a:ln>
            <a:noFill/>
          </a:ln>
          <a:effectLst/>
        </c:spPr>
        <c:dLbl>
          <c:idx val="0"/>
          <c:layout>
            <c:manualLayout>
              <c:x val="-6.8906115417743325E-3"/>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bg2">
              <a:lumMod val="90000"/>
            </a:schemeClr>
          </a:solidFill>
          <a:ln>
            <a:noFill/>
          </a:ln>
          <a:effectLst/>
        </c:spPr>
        <c:dLbl>
          <c:idx val="0"/>
          <c:layout>
            <c:manualLayout>
              <c:x val="-6.8906115417743637E-3"/>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bg2">
              <a:lumMod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bg2">
              <a:lumMod val="10000"/>
            </a:schemeClr>
          </a:solidFill>
          <a:ln>
            <a:noFill/>
          </a:ln>
          <a:effectLst/>
        </c:spPr>
        <c:dLbl>
          <c:idx val="0"/>
          <c:layout>
            <c:manualLayout>
              <c:x val="1.6504931895981831E-2"/>
              <c:y val="-6.9444444444444448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6"/>
        <c:spPr>
          <a:solidFill>
            <a:schemeClr val="bg2">
              <a:lumMod val="25000"/>
            </a:schemeClr>
          </a:solidFill>
          <a:ln>
            <a:noFill/>
          </a:ln>
          <a:effectLst/>
        </c:spPr>
        <c:dLbl>
          <c:idx val="0"/>
          <c:layout>
            <c:manualLayout>
              <c:x val="3.4453057708871533E-2"/>
              <c:y val="8.4875562720133283E-1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7"/>
        <c:spPr>
          <a:solidFill>
            <a:schemeClr val="bg2">
              <a:lumMod val="50000"/>
            </a:schemeClr>
          </a:solidFill>
          <a:ln>
            <a:noFill/>
          </a:ln>
          <a:effectLst/>
        </c:spPr>
        <c:dLbl>
          <c:idx val="0"/>
          <c:layout>
            <c:manualLayout>
              <c:x val="-2.0671834625322998E-2"/>
              <c:y val="9.2592592592592587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bg2">
              <a:lumMod val="75000"/>
            </a:schemeClr>
          </a:solidFill>
          <a:ln>
            <a:noFill/>
          </a:ln>
          <a:effectLst/>
        </c:spPr>
        <c:dLbl>
          <c:idx val="0"/>
          <c:layout>
            <c:manualLayout>
              <c:x val="-6.8906115417743325E-3"/>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9"/>
        <c:spPr>
          <a:solidFill>
            <a:schemeClr val="bg2">
              <a:lumMod val="90000"/>
            </a:schemeClr>
          </a:solidFill>
          <a:ln>
            <a:noFill/>
          </a:ln>
          <a:effectLst/>
        </c:spPr>
        <c:dLbl>
          <c:idx val="0"/>
          <c:layout>
            <c:manualLayout>
              <c:x val="-6.8906115417743637E-3"/>
              <c:y val="4.6296296296296294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9794721407624636"/>
          <c:y val="0.20412037037037037"/>
          <c:w val="0.35826799362689643"/>
          <c:h val="0.70699876057159539"/>
        </c:manualLayout>
      </c:layout>
      <c:pieChart>
        <c:varyColors val="1"/>
        <c:ser>
          <c:idx val="0"/>
          <c:order val="0"/>
          <c:tx>
            <c:strRef>
              <c:f>'Sales by region'!$B$3</c:f>
              <c:strCache>
                <c:ptCount val="1"/>
                <c:pt idx="0">
                  <c:v>Total</c:v>
                </c:pt>
              </c:strCache>
            </c:strRef>
          </c:tx>
          <c:spPr>
            <a:solidFill>
              <a:schemeClr val="bg2">
                <a:lumMod val="10000"/>
              </a:schemeClr>
            </a:solidFill>
          </c:spPr>
          <c:dPt>
            <c:idx val="0"/>
            <c:bubble3D val="0"/>
            <c:spPr>
              <a:solidFill>
                <a:schemeClr val="bg2">
                  <a:lumMod val="10000"/>
                </a:schemeClr>
              </a:solidFill>
              <a:ln>
                <a:noFill/>
              </a:ln>
              <a:effectLst/>
            </c:spPr>
            <c:extLst>
              <c:ext xmlns:c16="http://schemas.microsoft.com/office/drawing/2014/chart" uri="{C3380CC4-5D6E-409C-BE32-E72D297353CC}">
                <c16:uniqueId val="{00000001-9BCC-4D3D-AF0E-BE62B2F63D5C}"/>
              </c:ext>
            </c:extLst>
          </c:dPt>
          <c:dPt>
            <c:idx val="1"/>
            <c:bubble3D val="0"/>
            <c:spPr>
              <a:solidFill>
                <a:schemeClr val="bg2">
                  <a:lumMod val="25000"/>
                </a:schemeClr>
              </a:solidFill>
              <a:ln>
                <a:noFill/>
              </a:ln>
              <a:effectLst/>
            </c:spPr>
            <c:extLst>
              <c:ext xmlns:c16="http://schemas.microsoft.com/office/drawing/2014/chart" uri="{C3380CC4-5D6E-409C-BE32-E72D297353CC}">
                <c16:uniqueId val="{00000003-9BCC-4D3D-AF0E-BE62B2F63D5C}"/>
              </c:ext>
            </c:extLst>
          </c:dPt>
          <c:dPt>
            <c:idx val="2"/>
            <c:bubble3D val="0"/>
            <c:spPr>
              <a:solidFill>
                <a:schemeClr val="bg2">
                  <a:lumMod val="50000"/>
                </a:schemeClr>
              </a:solidFill>
              <a:ln>
                <a:noFill/>
              </a:ln>
              <a:effectLst/>
            </c:spPr>
            <c:extLst>
              <c:ext xmlns:c16="http://schemas.microsoft.com/office/drawing/2014/chart" uri="{C3380CC4-5D6E-409C-BE32-E72D297353CC}">
                <c16:uniqueId val="{00000005-9BCC-4D3D-AF0E-BE62B2F63D5C}"/>
              </c:ext>
            </c:extLst>
          </c:dPt>
          <c:dPt>
            <c:idx val="3"/>
            <c:bubble3D val="0"/>
            <c:spPr>
              <a:solidFill>
                <a:schemeClr val="bg2">
                  <a:lumMod val="75000"/>
                </a:schemeClr>
              </a:solidFill>
              <a:ln>
                <a:noFill/>
              </a:ln>
              <a:effectLst/>
            </c:spPr>
            <c:extLst>
              <c:ext xmlns:c16="http://schemas.microsoft.com/office/drawing/2014/chart" uri="{C3380CC4-5D6E-409C-BE32-E72D297353CC}">
                <c16:uniqueId val="{00000007-9BCC-4D3D-AF0E-BE62B2F63D5C}"/>
              </c:ext>
            </c:extLst>
          </c:dPt>
          <c:dPt>
            <c:idx val="4"/>
            <c:bubble3D val="0"/>
            <c:spPr>
              <a:solidFill>
                <a:schemeClr val="bg2">
                  <a:lumMod val="90000"/>
                </a:schemeClr>
              </a:solidFill>
              <a:ln>
                <a:noFill/>
              </a:ln>
              <a:effectLst/>
            </c:spPr>
            <c:extLst>
              <c:ext xmlns:c16="http://schemas.microsoft.com/office/drawing/2014/chart" uri="{C3380CC4-5D6E-409C-BE32-E72D297353CC}">
                <c16:uniqueId val="{00000009-9BCC-4D3D-AF0E-BE62B2F63D5C}"/>
              </c:ext>
            </c:extLst>
          </c:dPt>
          <c:dPt>
            <c:idx val="5"/>
            <c:bubble3D val="0"/>
            <c:spPr>
              <a:solidFill>
                <a:schemeClr val="bg2">
                  <a:lumMod val="10000"/>
                </a:schemeClr>
              </a:solidFill>
              <a:ln>
                <a:noFill/>
              </a:ln>
              <a:effectLst/>
            </c:spPr>
            <c:extLst>
              <c:ext xmlns:c16="http://schemas.microsoft.com/office/drawing/2014/chart" uri="{C3380CC4-5D6E-409C-BE32-E72D297353CC}">
                <c16:uniqueId val="{0000000B-9BCC-4D3D-AF0E-BE62B2F63D5C}"/>
              </c:ext>
            </c:extLst>
          </c:dPt>
          <c:dLbls>
            <c:dLbl>
              <c:idx val="0"/>
              <c:layout>
                <c:manualLayout>
                  <c:x val="1.6504931895981831E-2"/>
                  <c:y val="-6.9444444444444448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CC-4D3D-AF0E-BE62B2F63D5C}"/>
                </c:ext>
              </c:extLst>
            </c:dLbl>
            <c:dLbl>
              <c:idx val="1"/>
              <c:layout>
                <c:manualLayout>
                  <c:x val="3.4453057708871533E-2"/>
                  <c:y val="8.4875562720133283E-17"/>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CC-4D3D-AF0E-BE62B2F63D5C}"/>
                </c:ext>
              </c:extLst>
            </c:dLbl>
            <c:dLbl>
              <c:idx val="2"/>
              <c:layout>
                <c:manualLayout>
                  <c:x val="-2.0671834625322998E-2"/>
                  <c:y val="9.2592592592592587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BCC-4D3D-AF0E-BE62B2F63D5C}"/>
                </c:ext>
              </c:extLst>
            </c:dLbl>
            <c:dLbl>
              <c:idx val="3"/>
              <c:layout>
                <c:manualLayout>
                  <c:x val="-6.8906115417743325E-3"/>
                  <c:y val="4.6296296296296294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BCC-4D3D-AF0E-BE62B2F63D5C}"/>
                </c:ext>
              </c:extLst>
            </c:dLbl>
            <c:dLbl>
              <c:idx val="4"/>
              <c:layout>
                <c:manualLayout>
                  <c:x val="-6.8906115417743637E-3"/>
                  <c:y val="4.6296296296296294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BCC-4D3D-AF0E-BE62B2F63D5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'Sales by region'!$A$4:$A$9</c:f>
              <c:strCache>
                <c:ptCount val="5"/>
                <c:pt idx="0">
                  <c:v>West</c:v>
                </c:pt>
                <c:pt idx="1">
                  <c:v>Northeast</c:v>
                </c:pt>
                <c:pt idx="2">
                  <c:v>Southeast</c:v>
                </c:pt>
                <c:pt idx="3">
                  <c:v>South</c:v>
                </c:pt>
                <c:pt idx="4">
                  <c:v>Midwest</c:v>
                </c:pt>
              </c:strCache>
            </c:strRef>
          </c:cat>
          <c:val>
            <c:numRef>
              <c:f>'Sales by region'!$B$4:$B$9</c:f>
              <c:numCache>
                <c:formatCode>[&gt;999999]"$"#,###.0,,"M";General</c:formatCode>
                <c:ptCount val="5"/>
                <c:pt idx="0">
                  <c:v>269943182</c:v>
                </c:pt>
                <c:pt idx="1">
                  <c:v>186324067</c:v>
                </c:pt>
                <c:pt idx="2">
                  <c:v>163171236</c:v>
                </c:pt>
                <c:pt idx="3">
                  <c:v>144663181</c:v>
                </c:pt>
                <c:pt idx="4">
                  <c:v>135800459</c:v>
                </c:pt>
              </c:numCache>
            </c:numRef>
          </c:val>
          <c:extLst>
            <c:ext xmlns:c16="http://schemas.microsoft.com/office/drawing/2014/chart" uri="{C3380CC4-5D6E-409C-BE32-E72D297353CC}">
              <c16:uniqueId val="{0000000C-9BCC-4D3D-AF0E-BE62B2F63D5C}"/>
            </c:ext>
          </c:extLst>
        </c:ser>
        <c:dLbls>
          <c:showLegendKey val="0"/>
          <c:showVal val="0"/>
          <c:showCatName val="0"/>
          <c:showSerName val="0"/>
          <c:showPercent val="0"/>
          <c:showBubbleSize val="0"/>
          <c:showLeaderLines val="1"/>
        </c:dLbls>
        <c:firstSliceAng val="0"/>
      </c:pieChart>
      <c:spPr>
        <a:noFill/>
        <a:ln w="25400">
          <a:noFill/>
        </a:ln>
        <a:effectLst/>
      </c:spPr>
    </c:plotArea>
    <c:legend>
      <c:legendPos val="r"/>
      <c:layout>
        <c:manualLayout>
          <c:xMode val="edge"/>
          <c:yMode val="edge"/>
          <c:x val="0.78835692919931144"/>
          <c:y val="0.36044983960338289"/>
          <c:w val="0.18836792533102939"/>
          <c:h val="0.404516622922134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[Final project 5.xlsx]Sales by state!PivotTable5</c:name>
    <c:fmtId val="-1"/>
  </c:pivotSource>
  <c:chart>
    <c:title>
      <c:tx>
        <c:rich>
          <a:bodyPr rot="0" spcFirstLastPara="1" vertOverflow="ellipsis" vert="horz" wrap="square" anchor="ctr" anchorCtr="1"/>
          <a:lstStyle/>
          <a:p>
            <a:pPr>
              <a:defRPr sz="1400" b="0" i="0" u="none" strike="noStrike" kern="1200" spc="0" baseline="0">
                <a:solidFill>
                  <a:schemeClr val="bg2">
                    <a:lumMod val="10000"/>
                  </a:schemeClr>
                </a:solidFill>
                <a:latin typeface="+mn-lt"/>
                <a:ea typeface="+mn-ea"/>
                <a:cs typeface="+mn-cs"/>
              </a:defRPr>
            </a:pPr>
            <a:r>
              <a:rPr lang="en-US"/>
              <a:t>Top 5 states by states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2">
                  <a:lumMod val="10000"/>
                </a:schemeClr>
              </a:solidFill>
              <a:latin typeface="+mn-lt"/>
              <a:ea typeface="+mn-ea"/>
              <a:cs typeface="+mn-cs"/>
            </a:defRPr>
          </a:pPr>
          <a:endParaRPr lang="en-US"/>
        </a:p>
      </c:txPr>
    </c:title>
    <c:autoTitleDeleted val="0"/>
    <c:pivotFmts>
      <c:pivotFmt>
        <c:idx val="0"/>
        <c:spPr>
          <a:solidFill>
            <a:schemeClr val="accent1"/>
          </a:solidFill>
          <a:ln w="28575" cap="rnd">
            <a:solidFill>
              <a:schemeClr val="bg2">
                <a:lumMod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bg2">
                <a:lumMod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solidFill>
              <a:schemeClr val="bg2">
                <a:lumMod val="1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bg2">
              <a:lumMod val="10000"/>
            </a:schemeClr>
          </a:solidFill>
          <a:ln>
            <a:noFill/>
          </a:ln>
          <a:effectLst/>
        </c:spPr>
      </c:pivotFmt>
      <c:pivotFmt>
        <c:idx val="5"/>
        <c:spPr>
          <a:solidFill>
            <a:schemeClr val="bg2">
              <a:lumMod val="25000"/>
            </a:schemeClr>
          </a:solidFill>
          <a:ln>
            <a:noFill/>
          </a:ln>
          <a:effectLst/>
        </c:spPr>
      </c:pivotFmt>
      <c:pivotFmt>
        <c:idx val="6"/>
        <c:spPr>
          <a:solidFill>
            <a:schemeClr val="bg2">
              <a:lumMod val="50000"/>
            </a:schemeClr>
          </a:solidFill>
          <a:ln>
            <a:noFill/>
          </a:ln>
          <a:effectLst/>
        </c:spPr>
      </c:pivotFmt>
      <c:pivotFmt>
        <c:idx val="7"/>
        <c:spPr>
          <a:solidFill>
            <a:schemeClr val="bg2">
              <a:lumMod val="75000"/>
            </a:schemeClr>
          </a:solidFill>
          <a:ln>
            <a:noFill/>
          </a:ln>
          <a:effectLst/>
        </c:spPr>
      </c:pivotFmt>
      <c:pivotFmt>
        <c:idx val="8"/>
        <c:spPr>
          <a:solidFill>
            <a:schemeClr val="bg2">
              <a:lumMod val="90000"/>
            </a:schemeClr>
          </a:solidFill>
          <a:ln>
            <a:noFill/>
          </a:ln>
          <a:effectLst/>
        </c:spPr>
      </c:pivotFmt>
      <c:pivotFmt>
        <c:idx val="9"/>
        <c:spPr>
          <a:solidFill>
            <a:schemeClr val="bg2">
              <a:lumMod val="90000"/>
            </a:schemeClr>
          </a:solidFill>
          <a:ln>
            <a:noFill/>
          </a:ln>
          <a:effectLst/>
        </c:spPr>
      </c:pivotFmt>
      <c:pivotFmt>
        <c:idx val="10"/>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2">
                      <a:lumMod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bg2">
              <a:lumMod val="10000"/>
            </a:schemeClr>
          </a:solidFill>
          <a:ln>
            <a:noFill/>
          </a:ln>
          <a:effectLst/>
        </c:spPr>
      </c:pivotFmt>
      <c:pivotFmt>
        <c:idx val="12"/>
        <c:spPr>
          <a:solidFill>
            <a:schemeClr val="bg2">
              <a:lumMod val="25000"/>
            </a:schemeClr>
          </a:solidFill>
          <a:ln>
            <a:noFill/>
          </a:ln>
          <a:effectLst/>
        </c:spPr>
      </c:pivotFmt>
      <c:pivotFmt>
        <c:idx val="13"/>
        <c:spPr>
          <a:solidFill>
            <a:schemeClr val="bg2">
              <a:lumMod val="50000"/>
            </a:schemeClr>
          </a:solidFill>
          <a:ln>
            <a:noFill/>
          </a:ln>
          <a:effectLst/>
        </c:spPr>
      </c:pivotFmt>
      <c:pivotFmt>
        <c:idx val="14"/>
        <c:spPr>
          <a:solidFill>
            <a:schemeClr val="bg2">
              <a:lumMod val="75000"/>
            </a:schemeClr>
          </a:solidFill>
          <a:ln>
            <a:noFill/>
          </a:ln>
          <a:effectLst/>
        </c:spPr>
      </c:pivotFmt>
      <c:pivotFmt>
        <c:idx val="15"/>
        <c:spPr>
          <a:solidFill>
            <a:schemeClr val="bg2">
              <a:lumMod val="90000"/>
            </a:schemeClr>
          </a:solidFill>
          <a:ln>
            <a:noFill/>
          </a:ln>
          <a:effectLst/>
        </c:spPr>
      </c:pivotFmt>
      <c:pivotFmt>
        <c:idx val="16"/>
        <c:spPr>
          <a:solidFill>
            <a:schemeClr val="bg2">
              <a:lumMod val="90000"/>
            </a:schemeClr>
          </a:solidFill>
          <a:ln>
            <a:noFill/>
          </a:ln>
          <a:effectLst/>
        </c:spPr>
      </c:pivotFmt>
      <c:pivotFmt>
        <c:idx val="17"/>
        <c:spPr>
          <a:solidFill>
            <a:schemeClr val="bg2">
              <a:lumMod val="10000"/>
            </a:schemeClr>
          </a:solidFill>
          <a:ln>
            <a:noFill/>
          </a:ln>
          <a:effectLst/>
        </c:spPr>
      </c:pivotFmt>
      <c:pivotFmt>
        <c:idx val="18"/>
        <c:spPr>
          <a:solidFill>
            <a:schemeClr val="bg2">
              <a:lumMod val="25000"/>
            </a:schemeClr>
          </a:solidFill>
          <a:ln>
            <a:noFill/>
          </a:ln>
          <a:effectLst/>
        </c:spPr>
      </c:pivotFmt>
      <c:pivotFmt>
        <c:idx val="19"/>
        <c:spPr>
          <a:solidFill>
            <a:schemeClr val="bg2">
              <a:lumMod val="50000"/>
            </a:schemeClr>
          </a:solidFill>
          <a:ln>
            <a:noFill/>
          </a:ln>
          <a:effectLst/>
        </c:spPr>
      </c:pivotFmt>
      <c:pivotFmt>
        <c:idx val="20"/>
        <c:spPr>
          <a:solidFill>
            <a:schemeClr val="bg2">
              <a:lumMod val="75000"/>
            </a:schemeClr>
          </a:solidFill>
          <a:ln>
            <a:noFill/>
          </a:ln>
          <a:effectLst/>
        </c:spPr>
      </c:pivotFmt>
      <c:pivotFmt>
        <c:idx val="21"/>
        <c:spPr>
          <a:solidFill>
            <a:schemeClr val="bg2">
              <a:lumMod val="90000"/>
            </a:schemeClr>
          </a:solidFill>
          <a:ln>
            <a:noFill/>
          </a:ln>
          <a:effectLst/>
        </c:spPr>
      </c:pivotFmt>
      <c:pivotFmt>
        <c:idx val="22"/>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2">
                      <a:lumMod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bg2">
              <a:lumMod val="10000"/>
            </a:schemeClr>
          </a:solidFill>
          <a:ln>
            <a:noFill/>
          </a:ln>
          <a:effectLst/>
        </c:spPr>
      </c:pivotFmt>
      <c:pivotFmt>
        <c:idx val="24"/>
        <c:spPr>
          <a:solidFill>
            <a:schemeClr val="bg2">
              <a:lumMod val="25000"/>
            </a:schemeClr>
          </a:solidFill>
          <a:ln>
            <a:noFill/>
          </a:ln>
          <a:effectLst/>
        </c:spPr>
      </c:pivotFmt>
      <c:pivotFmt>
        <c:idx val="25"/>
        <c:spPr>
          <a:solidFill>
            <a:schemeClr val="bg2">
              <a:lumMod val="50000"/>
            </a:schemeClr>
          </a:solidFill>
          <a:ln>
            <a:noFill/>
          </a:ln>
          <a:effectLst/>
        </c:spPr>
      </c:pivotFmt>
      <c:pivotFmt>
        <c:idx val="26"/>
        <c:spPr>
          <a:solidFill>
            <a:schemeClr val="bg2">
              <a:lumMod val="75000"/>
            </a:schemeClr>
          </a:solidFill>
          <a:ln>
            <a:noFill/>
          </a:ln>
          <a:effectLst/>
        </c:spPr>
      </c:pivotFmt>
      <c:pivotFmt>
        <c:idx val="27"/>
        <c:spPr>
          <a:solidFill>
            <a:schemeClr val="bg2">
              <a:lumMod val="90000"/>
            </a:schemeClr>
          </a:solidFill>
          <a:ln>
            <a:noFill/>
          </a:ln>
          <a:effectLst/>
        </c:spPr>
      </c:pivotFmt>
      <c:pivotFmt>
        <c:idx val="28"/>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bg2">
                      <a:lumMod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bg2">
              <a:lumMod val="10000"/>
            </a:schemeClr>
          </a:solidFill>
          <a:ln>
            <a:noFill/>
          </a:ln>
          <a:effectLst/>
        </c:spPr>
      </c:pivotFmt>
      <c:pivotFmt>
        <c:idx val="30"/>
        <c:spPr>
          <a:solidFill>
            <a:schemeClr val="bg2">
              <a:lumMod val="25000"/>
            </a:schemeClr>
          </a:solidFill>
          <a:ln>
            <a:noFill/>
          </a:ln>
          <a:effectLst/>
        </c:spPr>
      </c:pivotFmt>
      <c:pivotFmt>
        <c:idx val="31"/>
        <c:spPr>
          <a:solidFill>
            <a:schemeClr val="bg2">
              <a:lumMod val="50000"/>
            </a:schemeClr>
          </a:solidFill>
          <a:ln>
            <a:noFill/>
          </a:ln>
          <a:effectLst/>
        </c:spPr>
      </c:pivotFmt>
      <c:pivotFmt>
        <c:idx val="32"/>
        <c:spPr>
          <a:solidFill>
            <a:schemeClr val="bg2">
              <a:lumMod val="75000"/>
            </a:schemeClr>
          </a:solidFill>
          <a:ln>
            <a:noFill/>
          </a:ln>
          <a:effectLst/>
        </c:spPr>
      </c:pivotFmt>
      <c:pivotFmt>
        <c:idx val="33"/>
        <c:spPr>
          <a:solidFill>
            <a:schemeClr val="bg2">
              <a:lumMod val="90000"/>
            </a:schemeClr>
          </a:solidFill>
          <a:ln>
            <a:noFill/>
          </a:ln>
          <a:effectLst/>
        </c:spPr>
      </c:pivotFmt>
    </c:pivotFmts>
    <c:plotArea>
      <c:layout>
        <c:manualLayout>
          <c:layoutTarget val="inner"/>
          <c:xMode val="edge"/>
          <c:yMode val="edge"/>
          <c:x val="2.5806451612903226E-2"/>
          <c:y val="0.22263888888888889"/>
          <c:w val="0.94838709677419353"/>
          <c:h val="0.66996172353455818"/>
        </c:manualLayout>
      </c:layout>
      <c:barChart>
        <c:barDir val="col"/>
        <c:grouping val="clustered"/>
        <c:varyColors val="0"/>
        <c:ser>
          <c:idx val="0"/>
          <c:order val="0"/>
          <c:tx>
            <c:strRef>
              <c:f>'Sales by state'!$B$3</c:f>
              <c:strCache>
                <c:ptCount val="1"/>
                <c:pt idx="0">
                  <c:v>Total</c:v>
                </c:pt>
              </c:strCache>
            </c:strRef>
          </c:tx>
          <c:spPr>
            <a:solidFill>
              <a:schemeClr val="tx2">
                <a:lumMod val="50000"/>
              </a:schemeClr>
            </a:solidFill>
            <a:ln>
              <a:noFill/>
            </a:ln>
            <a:effectLst/>
          </c:spPr>
          <c:invertIfNegative val="0"/>
          <c:dPt>
            <c:idx val="0"/>
            <c:invertIfNegative val="0"/>
            <c:bubble3D val="0"/>
            <c:spPr>
              <a:solidFill>
                <a:schemeClr val="bg2">
                  <a:lumMod val="10000"/>
                </a:schemeClr>
              </a:solidFill>
              <a:ln>
                <a:noFill/>
              </a:ln>
              <a:effectLst/>
            </c:spPr>
            <c:extLst>
              <c:ext xmlns:c16="http://schemas.microsoft.com/office/drawing/2014/chart" uri="{C3380CC4-5D6E-409C-BE32-E72D297353CC}">
                <c16:uniqueId val="{00000001-016F-4ED2-B96B-C3D9C13CF3C4}"/>
              </c:ext>
            </c:extLst>
          </c:dPt>
          <c:dPt>
            <c:idx val="1"/>
            <c:invertIfNegative val="0"/>
            <c:bubble3D val="0"/>
            <c:spPr>
              <a:solidFill>
                <a:schemeClr val="bg2">
                  <a:lumMod val="25000"/>
                </a:schemeClr>
              </a:solidFill>
              <a:ln>
                <a:noFill/>
              </a:ln>
              <a:effectLst/>
            </c:spPr>
            <c:extLst>
              <c:ext xmlns:c16="http://schemas.microsoft.com/office/drawing/2014/chart" uri="{C3380CC4-5D6E-409C-BE32-E72D297353CC}">
                <c16:uniqueId val="{00000003-016F-4ED2-B96B-C3D9C13CF3C4}"/>
              </c:ext>
            </c:extLst>
          </c:dPt>
          <c:dPt>
            <c:idx val="2"/>
            <c:invertIfNegative val="0"/>
            <c:bubble3D val="0"/>
            <c:spPr>
              <a:solidFill>
                <a:schemeClr val="bg2">
                  <a:lumMod val="50000"/>
                </a:schemeClr>
              </a:solidFill>
              <a:ln>
                <a:noFill/>
              </a:ln>
              <a:effectLst/>
            </c:spPr>
            <c:extLst>
              <c:ext xmlns:c16="http://schemas.microsoft.com/office/drawing/2014/chart" uri="{C3380CC4-5D6E-409C-BE32-E72D297353CC}">
                <c16:uniqueId val="{00000005-016F-4ED2-B96B-C3D9C13CF3C4}"/>
              </c:ext>
            </c:extLst>
          </c:dPt>
          <c:dPt>
            <c:idx val="3"/>
            <c:invertIfNegative val="0"/>
            <c:bubble3D val="0"/>
            <c:spPr>
              <a:solidFill>
                <a:schemeClr val="bg2">
                  <a:lumMod val="75000"/>
                </a:schemeClr>
              </a:solidFill>
              <a:ln>
                <a:noFill/>
              </a:ln>
              <a:effectLst/>
            </c:spPr>
            <c:extLst>
              <c:ext xmlns:c16="http://schemas.microsoft.com/office/drawing/2014/chart" uri="{C3380CC4-5D6E-409C-BE32-E72D297353CC}">
                <c16:uniqueId val="{00000007-016F-4ED2-B96B-C3D9C13CF3C4}"/>
              </c:ext>
            </c:extLst>
          </c:dPt>
          <c:dPt>
            <c:idx val="4"/>
            <c:invertIfNegative val="0"/>
            <c:bubble3D val="0"/>
            <c:spPr>
              <a:solidFill>
                <a:schemeClr val="bg2">
                  <a:lumMod val="90000"/>
                </a:schemeClr>
              </a:solidFill>
              <a:ln>
                <a:noFill/>
              </a:ln>
              <a:effectLst/>
            </c:spPr>
            <c:extLst>
              <c:ext xmlns:c16="http://schemas.microsoft.com/office/drawing/2014/chart" uri="{C3380CC4-5D6E-409C-BE32-E72D297353CC}">
                <c16:uniqueId val="{00000009-016F-4ED2-B96B-C3D9C13CF3C4}"/>
              </c:ext>
            </c:extLst>
          </c:dPt>
          <c:dPt>
            <c:idx val="5"/>
            <c:invertIfNegative val="0"/>
            <c:bubble3D val="0"/>
            <c:extLst>
              <c:ext xmlns:c16="http://schemas.microsoft.com/office/drawing/2014/chart" uri="{C3380CC4-5D6E-409C-BE32-E72D297353CC}">
                <c16:uniqueId val="{0000000A-016F-4ED2-B96B-C3D9C13CF3C4}"/>
              </c:ext>
            </c:extLst>
          </c:dPt>
          <c:dLbls>
            <c:spPr>
              <a:noFill/>
              <a:ln>
                <a:noFill/>
              </a:ln>
              <a:effectLst/>
            </c:spPr>
            <c:txPr>
              <a:bodyPr rot="0" spcFirstLastPara="1" vertOverflow="ellipsis" vert="horz" wrap="square" anchor="ctr" anchorCtr="1"/>
              <a:lstStyle/>
              <a:p>
                <a:pPr>
                  <a:defRPr sz="900" b="0" i="0" u="none" strike="noStrike" kern="1200" baseline="0">
                    <a:solidFill>
                      <a:schemeClr val="bg2">
                        <a:lumMod val="1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'Sales by state'!$A$4:$A$9</c:f>
              <c:strCache>
                <c:ptCount val="5"/>
                <c:pt idx="0">
                  <c:v>New York</c:v>
                </c:pt>
                <c:pt idx="1">
                  <c:v>California</c:v>
                </c:pt>
                <c:pt idx="2">
                  <c:v>Florida</c:v>
                </c:pt>
                <c:pt idx="3">
                  <c:v>Texas</c:v>
                </c:pt>
                <c:pt idx="4">
                  <c:v>South Carolina</c:v>
                </c:pt>
              </c:strCache>
            </c:strRef>
          </c:cat>
          <c:val>
            <c:numRef>
              <c:f>'Sales by state'!$B$4:$B$9</c:f>
              <c:numCache>
                <c:formatCode>[&gt;999999]"$"#,###.0,,"M";General</c:formatCode>
                <c:ptCount val="5"/>
                <c:pt idx="0">
                  <c:v>64229039</c:v>
                </c:pt>
                <c:pt idx="1">
                  <c:v>60174133</c:v>
                </c:pt>
                <c:pt idx="2">
                  <c:v>59283714</c:v>
                </c:pt>
                <c:pt idx="3">
                  <c:v>46359746</c:v>
                </c:pt>
                <c:pt idx="4">
                  <c:v>29285637</c:v>
                </c:pt>
              </c:numCache>
            </c:numRef>
          </c:val>
          <c:extLst>
            <c:ext xmlns:c16="http://schemas.microsoft.com/office/drawing/2014/chart" uri="{C3380CC4-5D6E-409C-BE32-E72D297353CC}">
              <c16:uniqueId val="{0000000B-016F-4ED2-B96B-C3D9C13CF3C4}"/>
            </c:ext>
          </c:extLst>
        </c:ser>
        <c:dLbls>
          <c:dLblPos val="outEnd"/>
          <c:showLegendKey val="0"/>
          <c:showVal val="1"/>
          <c:showCatName val="0"/>
          <c:showSerName val="0"/>
          <c:showPercent val="0"/>
          <c:showBubbleSize val="0"/>
        </c:dLbls>
        <c:gapWidth val="44"/>
        <c:axId val="138805608"/>
        <c:axId val="138805992"/>
      </c:barChart>
      <c:catAx>
        <c:axId val="138805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2">
                    <a:lumMod val="10000"/>
                  </a:schemeClr>
                </a:solidFill>
                <a:latin typeface="+mn-lt"/>
                <a:ea typeface="+mn-ea"/>
                <a:cs typeface="+mn-cs"/>
              </a:defRPr>
            </a:pPr>
            <a:endParaRPr lang="en-US"/>
          </a:p>
        </c:txPr>
        <c:crossAx val="138805992"/>
        <c:crosses val="autoZero"/>
        <c:auto val="1"/>
        <c:lblAlgn val="ctr"/>
        <c:lblOffset val="100"/>
        <c:noMultiLvlLbl val="0"/>
      </c:catAx>
      <c:valAx>
        <c:axId val="138805992"/>
        <c:scaling>
          <c:orientation val="minMax"/>
        </c:scaling>
        <c:delete val="1"/>
        <c:axPos val="l"/>
        <c:numFmt formatCode="[&gt;999999]&quot;$&quot;#,###.0,,&quot;M&quot;;General" sourceLinked="1"/>
        <c:majorTickMark val="none"/>
        <c:minorTickMark val="none"/>
        <c:tickLblPos val="nextTo"/>
        <c:crossAx val="138805608"/>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chemeClr val="bg2">
              <a:lumMod val="10000"/>
            </a:schemeClr>
          </a:solidFill>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[Final project 5.xlsx]Products by units sold!PivotTable5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bg2">
                    <a:lumMod val="10000"/>
                  </a:schemeClr>
                </a:solidFill>
              </a:rPr>
              <a:t>Top products by units sold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bg2">
                <a:lumMod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bg2">
                <a:lumMod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solidFill>
              <a:schemeClr val="bg2">
                <a:lumMod val="1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bg2">
              <a:lumMod val="10000"/>
            </a:schemeClr>
          </a:solidFill>
          <a:ln>
            <a:noFill/>
          </a:ln>
          <a:effectLst/>
        </c:spPr>
      </c:pivotFmt>
      <c:pivotFmt>
        <c:idx val="5"/>
        <c:spPr>
          <a:solidFill>
            <a:schemeClr val="bg2">
              <a:lumMod val="25000"/>
            </a:schemeClr>
          </a:solidFill>
          <a:ln>
            <a:noFill/>
          </a:ln>
          <a:effectLst/>
        </c:spPr>
      </c:pivotFmt>
      <c:pivotFmt>
        <c:idx val="6"/>
        <c:spPr>
          <a:solidFill>
            <a:schemeClr val="bg2">
              <a:lumMod val="50000"/>
            </a:schemeClr>
          </a:solidFill>
          <a:ln>
            <a:noFill/>
          </a:ln>
          <a:effectLst/>
        </c:spPr>
      </c:pivotFmt>
      <c:pivotFmt>
        <c:idx val="7"/>
        <c:spPr>
          <a:solidFill>
            <a:schemeClr val="bg2">
              <a:lumMod val="75000"/>
            </a:schemeClr>
          </a:solidFill>
          <a:ln>
            <a:noFill/>
          </a:ln>
          <a:effectLst/>
        </c:spPr>
      </c:pivotFmt>
      <c:pivotFmt>
        <c:idx val="8"/>
        <c:spPr>
          <a:solidFill>
            <a:schemeClr val="bg2">
              <a:lumMod val="90000"/>
            </a:schemeClr>
          </a:solidFill>
          <a:ln>
            <a:noFill/>
          </a:ln>
          <a:effectLst/>
        </c:spPr>
      </c:pivotFmt>
      <c:pivotFmt>
        <c:idx val="9"/>
        <c:spPr>
          <a:solidFill>
            <a:schemeClr val="bg2">
              <a:lumMod val="90000"/>
            </a:schemeClr>
          </a:solidFill>
          <a:ln>
            <a:noFill/>
          </a:ln>
          <a:effectLst/>
        </c:spPr>
      </c:pivotFmt>
      <c:pivotFmt>
        <c:idx val="10"/>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bg2">
              <a:lumMod val="10000"/>
            </a:schemeClr>
          </a:solidFill>
          <a:ln>
            <a:noFill/>
          </a:ln>
          <a:effectLst/>
        </c:spPr>
      </c:pivotFmt>
      <c:pivotFmt>
        <c:idx val="12"/>
        <c:spPr>
          <a:solidFill>
            <a:schemeClr val="bg2">
              <a:lumMod val="25000"/>
            </a:schemeClr>
          </a:solidFill>
          <a:ln>
            <a:noFill/>
          </a:ln>
          <a:effectLst/>
        </c:spPr>
      </c:pivotFmt>
      <c:pivotFmt>
        <c:idx val="13"/>
        <c:spPr>
          <a:solidFill>
            <a:schemeClr val="bg2">
              <a:lumMod val="50000"/>
            </a:schemeClr>
          </a:solidFill>
          <a:ln>
            <a:noFill/>
          </a:ln>
          <a:effectLst/>
        </c:spPr>
      </c:pivotFmt>
      <c:pivotFmt>
        <c:idx val="14"/>
        <c:spPr>
          <a:solidFill>
            <a:schemeClr val="bg2">
              <a:lumMod val="75000"/>
            </a:schemeClr>
          </a:solidFill>
          <a:ln>
            <a:noFill/>
          </a:ln>
          <a:effectLst/>
        </c:spPr>
      </c:pivotFmt>
      <c:pivotFmt>
        <c:idx val="15"/>
        <c:spPr>
          <a:solidFill>
            <a:schemeClr val="bg2">
              <a:lumMod val="90000"/>
            </a:schemeClr>
          </a:solidFill>
          <a:ln>
            <a:noFill/>
          </a:ln>
          <a:effectLst/>
        </c:spPr>
      </c:pivotFmt>
      <c:pivotFmt>
        <c:idx val="16"/>
        <c:spPr>
          <a:solidFill>
            <a:schemeClr val="bg2">
              <a:lumMod val="90000"/>
            </a:schemeClr>
          </a:solidFill>
          <a:ln>
            <a:noFill/>
          </a:ln>
          <a:effectLst/>
        </c:spPr>
      </c:pivotFmt>
      <c:pivotFmt>
        <c:idx val="17"/>
        <c:spPr>
          <a:solidFill>
            <a:schemeClr val="bg2">
              <a:lumMod val="10000"/>
            </a:schemeClr>
          </a:solidFill>
          <a:ln>
            <a:noFill/>
          </a:ln>
          <a:effectLst/>
        </c:spPr>
      </c:pivotFmt>
      <c:pivotFmt>
        <c:idx val="18"/>
        <c:spPr>
          <a:solidFill>
            <a:schemeClr val="bg2">
              <a:lumMod val="25000"/>
            </a:schemeClr>
          </a:solidFill>
          <a:ln>
            <a:noFill/>
          </a:ln>
          <a:effectLst/>
        </c:spPr>
      </c:pivotFmt>
      <c:pivotFmt>
        <c:idx val="19"/>
        <c:spPr>
          <a:solidFill>
            <a:schemeClr val="bg2">
              <a:lumMod val="50000"/>
            </a:schemeClr>
          </a:solidFill>
          <a:ln>
            <a:noFill/>
          </a:ln>
          <a:effectLst/>
        </c:spPr>
      </c:pivotFmt>
      <c:pivotFmt>
        <c:idx val="20"/>
        <c:spPr>
          <a:solidFill>
            <a:schemeClr val="bg2">
              <a:lumMod val="75000"/>
            </a:schemeClr>
          </a:solidFill>
          <a:ln>
            <a:noFill/>
          </a:ln>
          <a:effectLst/>
        </c:spPr>
      </c:pivotFmt>
      <c:pivotFmt>
        <c:idx val="21"/>
        <c:spPr>
          <a:solidFill>
            <a:schemeClr val="bg2">
              <a:lumMod val="90000"/>
            </a:schemeClr>
          </a:solidFill>
          <a:ln>
            <a:noFill/>
          </a:ln>
          <a:effectLst/>
        </c:spPr>
      </c:pivotFmt>
      <c:pivotFmt>
        <c:idx val="22"/>
        <c:spPr>
          <a:solidFill>
            <a:schemeClr val="bg2">
              <a:lumMod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bg2">
              <a:lumMod val="10000"/>
            </a:schemeClr>
          </a:solidFill>
          <a:ln>
            <a:noFill/>
          </a:ln>
          <a:effectLst/>
        </c:spPr>
      </c:pivotFmt>
      <c:pivotFmt>
        <c:idx val="24"/>
        <c:spPr>
          <a:solidFill>
            <a:schemeClr val="bg2">
              <a:lumMod val="25000"/>
            </a:schemeClr>
          </a:solidFill>
          <a:ln>
            <a:noFill/>
          </a:ln>
          <a:effectLst/>
        </c:spPr>
      </c:pivotFmt>
      <c:pivotFmt>
        <c:idx val="25"/>
        <c:spPr>
          <a:solidFill>
            <a:schemeClr val="bg2">
              <a:lumMod val="50000"/>
            </a:schemeClr>
          </a:solidFill>
          <a:ln>
            <a:noFill/>
          </a:ln>
          <a:effectLst/>
        </c:spPr>
      </c:pivotFmt>
      <c:pivotFmt>
        <c:idx val="26"/>
        <c:spPr>
          <a:solidFill>
            <a:schemeClr val="bg2">
              <a:lumMod val="75000"/>
            </a:schemeClr>
          </a:solidFill>
          <a:ln>
            <a:noFill/>
          </a:ln>
          <a:effectLst/>
        </c:spPr>
      </c:pivotFmt>
      <c:pivotFmt>
        <c:idx val="27"/>
        <c:spPr>
          <a:solidFill>
            <a:schemeClr val="bg2">
              <a:lumMod val="90000"/>
            </a:schemeClr>
          </a:solidFill>
          <a:ln>
            <a:noFill/>
          </a:ln>
          <a:effectLst/>
        </c:spPr>
      </c:pivotFmt>
      <c:pivotFmt>
        <c:idx val="28"/>
        <c:spPr>
          <a:solidFill>
            <a:schemeClr val="bg2">
              <a:lumMod val="25000"/>
            </a:schemeClr>
          </a:solidFill>
          <a:ln>
            <a:noFill/>
          </a:ln>
          <a:effectLst/>
        </c:spPr>
      </c:pivotFmt>
      <c:pivotFmt>
        <c:idx val="29"/>
        <c:spPr>
          <a:solidFill>
            <a:schemeClr val="bg2">
              <a:lumMod val="50000"/>
            </a:schemeClr>
          </a:solidFill>
          <a:ln>
            <a:noFill/>
          </a:ln>
          <a:effectLst/>
        </c:spPr>
      </c:pivotFmt>
      <c:pivotFmt>
        <c:idx val="30"/>
        <c:spPr>
          <a:solidFill>
            <a:schemeClr val="bg2">
              <a:lumMod val="75000"/>
            </a:schemeClr>
          </a:solidFill>
          <a:ln>
            <a:noFill/>
          </a:ln>
          <a:effectLst/>
        </c:spPr>
      </c:pivotFmt>
      <c:pivotFmt>
        <c:idx val="31"/>
        <c:spPr>
          <a:solidFill>
            <a:schemeClr val="bg2">
              <a:lumMod val="90000"/>
            </a:schemeClr>
          </a:solidFill>
          <a:ln>
            <a:noFill/>
          </a:ln>
          <a:effectLst/>
        </c:spPr>
      </c:pivotFmt>
      <c:pivotFmt>
        <c:idx val="32"/>
        <c:spPr>
          <a:solidFill>
            <a:schemeClr val="bg2">
              <a:lumMod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bg2">
              <a:lumMod val="25000"/>
            </a:schemeClr>
          </a:solidFill>
          <a:ln>
            <a:noFill/>
          </a:ln>
          <a:effectLst/>
        </c:spPr>
      </c:pivotFmt>
      <c:pivotFmt>
        <c:idx val="34"/>
        <c:spPr>
          <a:solidFill>
            <a:schemeClr val="bg2">
              <a:lumMod val="50000"/>
            </a:schemeClr>
          </a:solidFill>
          <a:ln>
            <a:noFill/>
          </a:ln>
          <a:effectLst/>
        </c:spPr>
      </c:pivotFmt>
      <c:pivotFmt>
        <c:idx val="35"/>
        <c:spPr>
          <a:solidFill>
            <a:schemeClr val="bg2">
              <a:lumMod val="75000"/>
            </a:schemeClr>
          </a:solidFill>
          <a:ln>
            <a:noFill/>
          </a:ln>
          <a:effectLst/>
        </c:spPr>
      </c:pivotFmt>
      <c:pivotFmt>
        <c:idx val="36"/>
        <c:spPr>
          <a:solidFill>
            <a:schemeClr val="bg2">
              <a:lumMod val="90000"/>
            </a:schemeClr>
          </a:solidFill>
          <a:ln>
            <a:noFill/>
          </a:ln>
          <a:effectLst/>
        </c:spPr>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bg2">
              <a:lumMod val="25000"/>
            </a:schemeClr>
          </a:solidFill>
          <a:ln>
            <a:noFill/>
          </a:ln>
          <a:effectLst/>
        </c:spPr>
      </c:pivotFmt>
      <c:pivotFmt>
        <c:idx val="39"/>
        <c:spPr>
          <a:solidFill>
            <a:schemeClr val="bg2">
              <a:lumMod val="50000"/>
            </a:schemeClr>
          </a:solidFill>
          <a:ln>
            <a:noFill/>
          </a:ln>
          <a:effectLst/>
        </c:spPr>
      </c:pivotFmt>
      <c:pivotFmt>
        <c:idx val="40"/>
        <c:spPr>
          <a:solidFill>
            <a:schemeClr val="bg2">
              <a:lumMod val="75000"/>
            </a:schemeClr>
          </a:solidFill>
          <a:ln>
            <a:noFill/>
          </a:ln>
          <a:effectLst/>
        </c:spPr>
      </c:pivotFmt>
      <c:pivotFmt>
        <c:idx val="41"/>
        <c:spPr>
          <a:solidFill>
            <a:schemeClr val="bg2">
              <a:lumMod val="75000"/>
            </a:schemeClr>
          </a:solidFill>
          <a:ln>
            <a:noFill/>
          </a:ln>
          <a:effectLst/>
        </c:spPr>
      </c:pivotFmt>
      <c:pivotFmt>
        <c:idx val="42"/>
        <c:spPr>
          <a:solidFill>
            <a:schemeClr val="bg2">
              <a:lumMod val="90000"/>
            </a:schemeClr>
          </a:solidFill>
          <a:ln>
            <a:noFill/>
          </a:ln>
          <a:effectLst/>
        </c:spPr>
      </c:pivotFmt>
      <c:pivotFmt>
        <c:idx val="43"/>
        <c:spPr>
          <a:solidFill>
            <a:schemeClr val="bg2">
              <a:lumMod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bg2">
              <a:lumMod val="25000"/>
            </a:schemeClr>
          </a:solidFill>
          <a:ln>
            <a:noFill/>
          </a:ln>
          <a:effectLst/>
        </c:spPr>
      </c:pivotFmt>
      <c:pivotFmt>
        <c:idx val="45"/>
        <c:spPr>
          <a:solidFill>
            <a:schemeClr val="bg2">
              <a:lumMod val="50000"/>
            </a:schemeClr>
          </a:solidFill>
          <a:ln>
            <a:noFill/>
          </a:ln>
          <a:effectLst/>
        </c:spPr>
      </c:pivotFmt>
      <c:pivotFmt>
        <c:idx val="46"/>
        <c:spPr>
          <a:solidFill>
            <a:schemeClr val="bg2">
              <a:lumMod val="75000"/>
            </a:schemeClr>
          </a:solidFill>
          <a:ln>
            <a:noFill/>
          </a:ln>
          <a:effectLst/>
        </c:spPr>
      </c:pivotFmt>
      <c:pivotFmt>
        <c:idx val="47"/>
        <c:spPr>
          <a:solidFill>
            <a:schemeClr val="bg2">
              <a:lumMod val="75000"/>
            </a:schemeClr>
          </a:solidFill>
          <a:ln>
            <a:noFill/>
          </a:ln>
          <a:effectLst/>
        </c:spPr>
      </c:pivotFmt>
      <c:pivotFmt>
        <c:idx val="48"/>
        <c:spPr>
          <a:solidFill>
            <a:schemeClr val="bg2">
              <a:lumMod val="90000"/>
            </a:schemeClr>
          </a:solidFill>
          <a:ln>
            <a:noFill/>
          </a:ln>
          <a:effectLst/>
        </c:spPr>
      </c:pivotFmt>
      <c:pivotFmt>
        <c:idx val="49"/>
        <c:spPr>
          <a:solidFill>
            <a:schemeClr val="bg2">
              <a:lumMod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bg2">
              <a:lumMod val="90000"/>
            </a:schemeClr>
          </a:solidFill>
          <a:ln>
            <a:noFill/>
          </a:ln>
          <a:effectLst/>
        </c:spPr>
      </c:pivotFmt>
      <c:pivotFmt>
        <c:idx val="51"/>
        <c:spPr>
          <a:solidFill>
            <a:schemeClr val="bg2">
              <a:lumMod val="75000"/>
            </a:schemeClr>
          </a:solidFill>
          <a:ln>
            <a:noFill/>
          </a:ln>
          <a:effectLst/>
        </c:spPr>
      </c:pivotFmt>
      <c:pivotFmt>
        <c:idx val="52"/>
        <c:spPr>
          <a:solidFill>
            <a:schemeClr val="bg2">
              <a:lumMod val="75000"/>
            </a:schemeClr>
          </a:solidFill>
          <a:ln>
            <a:noFill/>
          </a:ln>
          <a:effectLst/>
        </c:spPr>
      </c:pivotFmt>
      <c:pivotFmt>
        <c:idx val="53"/>
        <c:spPr>
          <a:solidFill>
            <a:schemeClr val="bg2">
              <a:lumMod val="50000"/>
            </a:schemeClr>
          </a:solidFill>
          <a:ln>
            <a:noFill/>
          </a:ln>
          <a:effectLst/>
        </c:spPr>
      </c:pivotFmt>
      <c:pivotFmt>
        <c:idx val="54"/>
        <c:spPr>
          <a:solidFill>
            <a:schemeClr val="bg2">
              <a:lumMod val="25000"/>
            </a:schemeClr>
          </a:solidFill>
          <a:ln>
            <a:noFill/>
          </a:ln>
          <a:effectLst/>
        </c:spPr>
      </c:pivotFmt>
      <c:pivotFmt>
        <c:idx val="55"/>
        <c:spPr>
          <a:solidFill>
            <a:schemeClr val="bg2">
              <a:lumMod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bg2">
              <a:lumMod val="75000"/>
            </a:schemeClr>
          </a:solidFill>
          <a:ln>
            <a:noFill/>
          </a:ln>
          <a:effectLst/>
        </c:spPr>
      </c:pivotFmt>
      <c:pivotFmt>
        <c:idx val="57"/>
        <c:spPr>
          <a:solidFill>
            <a:schemeClr val="bg2">
              <a:lumMod val="50000"/>
            </a:schemeClr>
          </a:solidFill>
          <a:ln>
            <a:noFill/>
          </a:ln>
          <a:effectLst/>
        </c:spPr>
      </c:pivotFmt>
      <c:pivotFmt>
        <c:idx val="58"/>
        <c:spPr>
          <a:solidFill>
            <a:schemeClr val="bg2">
              <a:lumMod val="75000"/>
            </a:schemeClr>
          </a:solidFill>
          <a:ln>
            <a:noFill/>
          </a:ln>
          <a:effectLst/>
        </c:spPr>
      </c:pivotFmt>
      <c:pivotFmt>
        <c:idx val="59"/>
        <c:spPr>
          <a:solidFill>
            <a:schemeClr val="bg2">
              <a:lumMod val="90000"/>
            </a:schemeClr>
          </a:solidFill>
          <a:ln>
            <a:noFill/>
          </a:ln>
          <a:effectLst/>
        </c:spPr>
      </c:pivotFmt>
      <c:pivotFmt>
        <c:idx val="60"/>
        <c:spPr>
          <a:solidFill>
            <a:schemeClr val="bg2">
              <a:lumMod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1"/>
        <c:spPr>
          <a:solidFill>
            <a:schemeClr val="bg2">
              <a:lumMod val="90000"/>
            </a:schemeClr>
          </a:solidFill>
          <a:ln>
            <a:noFill/>
          </a:ln>
          <a:effectLst/>
        </c:spPr>
      </c:pivotFmt>
      <c:pivotFmt>
        <c:idx val="62"/>
        <c:spPr>
          <a:solidFill>
            <a:schemeClr val="bg2">
              <a:lumMod val="75000"/>
            </a:schemeClr>
          </a:solidFill>
          <a:ln>
            <a:noFill/>
          </a:ln>
          <a:effectLst/>
        </c:spPr>
      </c:pivotFmt>
      <c:pivotFmt>
        <c:idx val="63"/>
        <c:spPr>
          <a:solidFill>
            <a:schemeClr val="bg2">
              <a:lumMod val="75000"/>
            </a:schemeClr>
          </a:solidFill>
          <a:ln>
            <a:noFill/>
          </a:ln>
          <a:effectLst/>
        </c:spPr>
      </c:pivotFmt>
      <c:pivotFmt>
        <c:idx val="64"/>
        <c:spPr>
          <a:solidFill>
            <a:schemeClr val="bg2">
              <a:lumMod val="50000"/>
            </a:schemeClr>
          </a:solidFill>
          <a:ln>
            <a:noFill/>
          </a:ln>
          <a:effectLst/>
        </c:spPr>
      </c:pivotFmt>
      <c:pivotFmt>
        <c:idx val="65"/>
        <c:spPr>
          <a:solidFill>
            <a:schemeClr val="bg2">
              <a:lumMod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6"/>
        <c:spPr>
          <a:solidFill>
            <a:schemeClr val="bg2">
              <a:lumMod val="90000"/>
            </a:schemeClr>
          </a:solidFill>
          <a:ln>
            <a:noFill/>
          </a:ln>
          <a:effectLst/>
        </c:spPr>
      </c:pivotFmt>
      <c:pivotFmt>
        <c:idx val="67"/>
        <c:spPr>
          <a:solidFill>
            <a:schemeClr val="bg2">
              <a:lumMod val="75000"/>
            </a:schemeClr>
          </a:solidFill>
          <a:ln>
            <a:noFill/>
          </a:ln>
          <a:effectLst/>
        </c:spPr>
      </c:pivotFmt>
      <c:pivotFmt>
        <c:idx val="68"/>
        <c:spPr>
          <a:solidFill>
            <a:schemeClr val="bg2">
              <a:lumMod val="75000"/>
            </a:schemeClr>
          </a:solidFill>
          <a:ln>
            <a:noFill/>
          </a:ln>
          <a:effectLst/>
        </c:spPr>
      </c:pivotFmt>
      <c:pivotFmt>
        <c:idx val="69"/>
        <c:spPr>
          <a:solidFill>
            <a:schemeClr val="bg2">
              <a:lumMod val="50000"/>
            </a:schemeClr>
          </a:solidFill>
          <a:ln>
            <a:noFill/>
          </a:ln>
          <a:effectLst/>
        </c:spPr>
      </c:pivotFmt>
    </c:pivotFmts>
    <c:plotArea>
      <c:layout>
        <c:manualLayout>
          <c:layoutTarget val="inner"/>
          <c:xMode val="edge"/>
          <c:yMode val="edge"/>
          <c:x val="0.28856304985337244"/>
          <c:y val="0.21800925925925929"/>
          <c:w val="0.68328445747800592"/>
          <c:h val="0.73477653834937295"/>
        </c:manualLayout>
      </c:layout>
      <c:barChart>
        <c:barDir val="bar"/>
        <c:grouping val="clustered"/>
        <c:varyColors val="0"/>
        <c:ser>
          <c:idx val="0"/>
          <c:order val="0"/>
          <c:tx>
            <c:strRef>
              <c:f>'Products by units sold'!$B$3</c:f>
              <c:strCache>
                <c:ptCount val="1"/>
                <c:pt idx="0">
                  <c:v>Total</c:v>
                </c:pt>
              </c:strCache>
            </c:strRef>
          </c:tx>
          <c:spPr>
            <a:solidFill>
              <a:schemeClr val="bg2">
                <a:lumMod val="10000"/>
              </a:schemeClr>
            </a:solidFill>
            <a:ln>
              <a:noFill/>
            </a:ln>
            <a:effectLst/>
          </c:spPr>
          <c:invertIfNegative val="0"/>
          <c:dPt>
            <c:idx val="0"/>
            <c:invertIfNegative val="0"/>
            <c:bubble3D val="0"/>
            <c:spPr>
              <a:solidFill>
                <a:schemeClr val="bg2">
                  <a:lumMod val="90000"/>
                </a:schemeClr>
              </a:solidFill>
              <a:ln>
                <a:noFill/>
              </a:ln>
              <a:effectLst/>
            </c:spPr>
            <c:extLst>
              <c:ext xmlns:c16="http://schemas.microsoft.com/office/drawing/2014/chart" uri="{C3380CC4-5D6E-409C-BE32-E72D297353CC}">
                <c16:uniqueId val="{00000001-DA93-42D5-860D-6E3C3C95030C}"/>
              </c:ext>
            </c:extLst>
          </c:dPt>
          <c:dPt>
            <c:idx val="1"/>
            <c:invertIfNegative val="0"/>
            <c:bubble3D val="0"/>
            <c:spPr>
              <a:solidFill>
                <a:schemeClr val="bg2">
                  <a:lumMod val="75000"/>
                </a:schemeClr>
              </a:solidFill>
              <a:ln>
                <a:noFill/>
              </a:ln>
              <a:effectLst/>
            </c:spPr>
            <c:extLst>
              <c:ext xmlns:c16="http://schemas.microsoft.com/office/drawing/2014/chart" uri="{C3380CC4-5D6E-409C-BE32-E72D297353CC}">
                <c16:uniqueId val="{00000003-DA93-42D5-860D-6E3C3C95030C}"/>
              </c:ext>
            </c:extLst>
          </c:dPt>
          <c:dPt>
            <c:idx val="2"/>
            <c:invertIfNegative val="0"/>
            <c:bubble3D val="0"/>
            <c:spPr>
              <a:solidFill>
                <a:schemeClr val="bg2">
                  <a:lumMod val="75000"/>
                </a:schemeClr>
              </a:solidFill>
              <a:ln>
                <a:noFill/>
              </a:ln>
              <a:effectLst/>
            </c:spPr>
            <c:extLst>
              <c:ext xmlns:c16="http://schemas.microsoft.com/office/drawing/2014/chart" uri="{C3380CC4-5D6E-409C-BE32-E72D297353CC}">
                <c16:uniqueId val="{00000005-DA93-42D5-860D-6E3C3C95030C}"/>
              </c:ext>
            </c:extLst>
          </c:dPt>
          <c:dPt>
            <c:idx val="3"/>
            <c:invertIfNegative val="0"/>
            <c:bubble3D val="0"/>
            <c:spPr>
              <a:solidFill>
                <a:schemeClr val="bg2">
                  <a:lumMod val="50000"/>
                </a:schemeClr>
              </a:solidFill>
              <a:ln>
                <a:noFill/>
              </a:ln>
              <a:effectLst/>
            </c:spPr>
            <c:extLst>
              <c:ext xmlns:c16="http://schemas.microsoft.com/office/drawing/2014/chart" uri="{C3380CC4-5D6E-409C-BE32-E72D297353CC}">
                <c16:uniqueId val="{00000007-DA93-42D5-860D-6E3C3C95030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'Products by units sold'!$A$4:$A$10</c:f>
              <c:strCache>
                <c:ptCount val="6"/>
                <c:pt idx="0">
                  <c:v>Men's Apparel</c:v>
                </c:pt>
                <c:pt idx="1">
                  <c:v>Women's Athletic Footwear</c:v>
                </c:pt>
                <c:pt idx="2">
                  <c:v>Women's Street Footwear</c:v>
                </c:pt>
                <c:pt idx="3">
                  <c:v>Women's Apparel</c:v>
                </c:pt>
                <c:pt idx="4">
                  <c:v>Men's Athletic Footwear</c:v>
                </c:pt>
                <c:pt idx="5">
                  <c:v>Men's Street Footwear</c:v>
                </c:pt>
              </c:strCache>
            </c:strRef>
          </c:cat>
          <c:val>
            <c:numRef>
              <c:f>'Products by units sold'!$B$4:$B$10</c:f>
              <c:numCache>
                <c:formatCode>[&gt;900]#,###.0,"k";General</c:formatCode>
                <c:ptCount val="6"/>
                <c:pt idx="0">
                  <c:v>306683</c:v>
                </c:pt>
                <c:pt idx="1">
                  <c:v>317236</c:v>
                </c:pt>
                <c:pt idx="2">
                  <c:v>392269</c:v>
                </c:pt>
                <c:pt idx="3">
                  <c:v>433827</c:v>
                </c:pt>
                <c:pt idx="4">
                  <c:v>435526</c:v>
                </c:pt>
                <c:pt idx="5">
                  <c:v>593320</c:v>
                </c:pt>
              </c:numCache>
            </c:numRef>
          </c:val>
          <c:extLst>
            <c:ext xmlns:c16="http://schemas.microsoft.com/office/drawing/2014/chart" uri="{C3380CC4-5D6E-409C-BE32-E72D297353CC}">
              <c16:uniqueId val="{00000008-DA93-42D5-860D-6E3C3C95030C}"/>
            </c:ext>
          </c:extLst>
        </c:ser>
        <c:dLbls>
          <c:dLblPos val="outEnd"/>
          <c:showLegendKey val="0"/>
          <c:showVal val="1"/>
          <c:showCatName val="0"/>
          <c:showSerName val="0"/>
          <c:showPercent val="0"/>
          <c:showBubbleSize val="0"/>
        </c:dLbls>
        <c:gapWidth val="44"/>
        <c:axId val="141869088"/>
        <c:axId val="141875752"/>
      </c:barChart>
      <c:catAx>
        <c:axId val="1418690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875752"/>
        <c:crosses val="autoZero"/>
        <c:auto val="1"/>
        <c:lblAlgn val="ctr"/>
        <c:lblOffset val="100"/>
        <c:noMultiLvlLbl val="0"/>
      </c:catAx>
      <c:valAx>
        <c:axId val="141875752"/>
        <c:scaling>
          <c:orientation val="minMax"/>
        </c:scaling>
        <c:delete val="1"/>
        <c:axPos val="b"/>
        <c:numFmt formatCode="[&gt;900]#,###.0,&quot;k&quot;;General" sourceLinked="1"/>
        <c:majorTickMark val="none"/>
        <c:minorTickMark val="none"/>
        <c:tickLblPos val="nextTo"/>
        <c:crossAx val="141869088"/>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[Final project 5.xlsx]Sales by retailers !PivotTable5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baseline="0">
                <a:solidFill>
                  <a:schemeClr val="bg2">
                    <a:lumMod val="10000"/>
                  </a:schemeClr>
                </a:solidFill>
              </a:rPr>
              <a:t>Sales by retailers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bg2">
                <a:lumMod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bg2">
                <a:lumMod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solidFill>
              <a:schemeClr val="bg2">
                <a:lumMod val="10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bg2">
              <a:lumMod val="10000"/>
            </a:schemeClr>
          </a:solidFill>
          <a:ln>
            <a:noFill/>
          </a:ln>
          <a:effectLst/>
        </c:spPr>
      </c:pivotFmt>
      <c:pivotFmt>
        <c:idx val="5"/>
        <c:spPr>
          <a:solidFill>
            <a:schemeClr val="bg2">
              <a:lumMod val="25000"/>
            </a:schemeClr>
          </a:solidFill>
          <a:ln>
            <a:noFill/>
          </a:ln>
          <a:effectLst/>
        </c:spPr>
      </c:pivotFmt>
      <c:pivotFmt>
        <c:idx val="6"/>
        <c:spPr>
          <a:solidFill>
            <a:schemeClr val="bg2">
              <a:lumMod val="50000"/>
            </a:schemeClr>
          </a:solidFill>
          <a:ln>
            <a:noFill/>
          </a:ln>
          <a:effectLst/>
        </c:spPr>
      </c:pivotFmt>
      <c:pivotFmt>
        <c:idx val="7"/>
        <c:spPr>
          <a:solidFill>
            <a:schemeClr val="bg2">
              <a:lumMod val="75000"/>
            </a:schemeClr>
          </a:solidFill>
          <a:ln>
            <a:noFill/>
          </a:ln>
          <a:effectLst/>
        </c:spPr>
      </c:pivotFmt>
      <c:pivotFmt>
        <c:idx val="8"/>
        <c:spPr>
          <a:solidFill>
            <a:schemeClr val="bg2">
              <a:lumMod val="90000"/>
            </a:schemeClr>
          </a:solidFill>
          <a:ln>
            <a:noFill/>
          </a:ln>
          <a:effectLst/>
        </c:spPr>
      </c:pivotFmt>
      <c:pivotFmt>
        <c:idx val="9"/>
        <c:spPr>
          <a:solidFill>
            <a:schemeClr val="bg2">
              <a:lumMod val="90000"/>
            </a:schemeClr>
          </a:solidFill>
          <a:ln>
            <a:noFill/>
          </a:ln>
          <a:effectLst/>
        </c:spPr>
      </c:pivotFmt>
      <c:pivotFmt>
        <c:idx val="10"/>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bg2">
              <a:lumMod val="10000"/>
            </a:schemeClr>
          </a:solidFill>
          <a:ln>
            <a:noFill/>
          </a:ln>
          <a:effectLst/>
        </c:spPr>
      </c:pivotFmt>
      <c:pivotFmt>
        <c:idx val="12"/>
        <c:spPr>
          <a:solidFill>
            <a:schemeClr val="bg2">
              <a:lumMod val="25000"/>
            </a:schemeClr>
          </a:solidFill>
          <a:ln>
            <a:noFill/>
          </a:ln>
          <a:effectLst/>
        </c:spPr>
      </c:pivotFmt>
      <c:pivotFmt>
        <c:idx val="13"/>
        <c:spPr>
          <a:solidFill>
            <a:schemeClr val="bg2">
              <a:lumMod val="50000"/>
            </a:schemeClr>
          </a:solidFill>
          <a:ln>
            <a:noFill/>
          </a:ln>
          <a:effectLst/>
        </c:spPr>
      </c:pivotFmt>
      <c:pivotFmt>
        <c:idx val="14"/>
        <c:spPr>
          <a:solidFill>
            <a:schemeClr val="bg2">
              <a:lumMod val="75000"/>
            </a:schemeClr>
          </a:solidFill>
          <a:ln>
            <a:noFill/>
          </a:ln>
          <a:effectLst/>
        </c:spPr>
      </c:pivotFmt>
      <c:pivotFmt>
        <c:idx val="15"/>
        <c:spPr>
          <a:solidFill>
            <a:schemeClr val="bg2">
              <a:lumMod val="90000"/>
            </a:schemeClr>
          </a:solidFill>
          <a:ln>
            <a:noFill/>
          </a:ln>
          <a:effectLst/>
        </c:spPr>
      </c:pivotFmt>
      <c:pivotFmt>
        <c:idx val="16"/>
        <c:spPr>
          <a:solidFill>
            <a:schemeClr val="bg2">
              <a:lumMod val="90000"/>
            </a:schemeClr>
          </a:solidFill>
          <a:ln>
            <a:noFill/>
          </a:ln>
          <a:effectLst/>
        </c:spPr>
      </c:pivotFmt>
      <c:pivotFmt>
        <c:idx val="17"/>
        <c:spPr>
          <a:solidFill>
            <a:schemeClr val="tx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bg2">
              <a:lumMod val="10000"/>
            </a:schemeClr>
          </a:solidFill>
          <a:ln>
            <a:noFill/>
          </a:ln>
          <a:effectLst/>
        </c:spPr>
      </c:pivotFmt>
      <c:pivotFmt>
        <c:idx val="19"/>
        <c:spPr>
          <a:solidFill>
            <a:schemeClr val="bg2">
              <a:lumMod val="25000"/>
            </a:schemeClr>
          </a:solidFill>
          <a:ln>
            <a:noFill/>
          </a:ln>
          <a:effectLst/>
        </c:spPr>
      </c:pivotFmt>
      <c:pivotFmt>
        <c:idx val="20"/>
        <c:spPr>
          <a:solidFill>
            <a:schemeClr val="bg2">
              <a:lumMod val="50000"/>
            </a:schemeClr>
          </a:solidFill>
          <a:ln>
            <a:noFill/>
          </a:ln>
          <a:effectLst/>
        </c:spPr>
      </c:pivotFmt>
      <c:pivotFmt>
        <c:idx val="21"/>
        <c:spPr>
          <a:solidFill>
            <a:schemeClr val="bg2">
              <a:lumMod val="75000"/>
            </a:schemeClr>
          </a:solidFill>
          <a:ln>
            <a:noFill/>
          </a:ln>
          <a:effectLst/>
        </c:spPr>
      </c:pivotFmt>
      <c:pivotFmt>
        <c:idx val="22"/>
        <c:spPr>
          <a:solidFill>
            <a:schemeClr val="bg2">
              <a:lumMod val="90000"/>
            </a:schemeClr>
          </a:solidFill>
          <a:ln>
            <a:noFill/>
          </a:ln>
          <a:effectLst/>
        </c:spPr>
      </c:pivotFmt>
      <c:pivotFmt>
        <c:idx val="23"/>
        <c:spPr>
          <a:solidFill>
            <a:schemeClr val="bg2">
              <a:lumMod val="90000"/>
            </a:schemeClr>
          </a:solidFill>
          <a:ln>
            <a:noFill/>
          </a:ln>
          <a:effectLst/>
        </c:spPr>
      </c:pivotFmt>
    </c:pivotFmts>
    <c:plotArea>
      <c:layout>
        <c:manualLayout>
          <c:layoutTarget val="inner"/>
          <c:xMode val="edge"/>
          <c:yMode val="edge"/>
          <c:x val="2.5806451612903226E-2"/>
          <c:y val="0.17171296296296296"/>
          <c:w val="0.94838709677419353"/>
          <c:h val="0.720887649460484"/>
        </c:manualLayout>
      </c:layout>
      <c:barChart>
        <c:barDir val="col"/>
        <c:grouping val="clustered"/>
        <c:varyColors val="0"/>
        <c:ser>
          <c:idx val="0"/>
          <c:order val="0"/>
          <c:tx>
            <c:strRef>
              <c:f>'Sales by retailers '!$B$3</c:f>
              <c:strCache>
                <c:ptCount val="1"/>
                <c:pt idx="0">
                  <c:v>Total</c:v>
                </c:pt>
              </c:strCache>
            </c:strRef>
          </c:tx>
          <c:spPr>
            <a:solidFill>
              <a:schemeClr val="tx2">
                <a:lumMod val="50000"/>
              </a:schemeClr>
            </a:solidFill>
            <a:ln>
              <a:noFill/>
            </a:ln>
            <a:effectLst/>
          </c:spPr>
          <c:invertIfNegative val="0"/>
          <c:dPt>
            <c:idx val="0"/>
            <c:invertIfNegative val="0"/>
            <c:bubble3D val="0"/>
            <c:spPr>
              <a:solidFill>
                <a:schemeClr val="bg2">
                  <a:lumMod val="10000"/>
                </a:schemeClr>
              </a:solidFill>
              <a:ln>
                <a:noFill/>
              </a:ln>
              <a:effectLst/>
            </c:spPr>
            <c:extLst>
              <c:ext xmlns:c16="http://schemas.microsoft.com/office/drawing/2014/chart" uri="{C3380CC4-5D6E-409C-BE32-E72D297353CC}">
                <c16:uniqueId val="{00000001-59BF-4E3D-AC9B-FB26F0727DD3}"/>
              </c:ext>
            </c:extLst>
          </c:dPt>
          <c:dPt>
            <c:idx val="1"/>
            <c:invertIfNegative val="0"/>
            <c:bubble3D val="0"/>
            <c:spPr>
              <a:solidFill>
                <a:schemeClr val="bg2">
                  <a:lumMod val="25000"/>
                </a:schemeClr>
              </a:solidFill>
              <a:ln>
                <a:noFill/>
              </a:ln>
              <a:effectLst/>
            </c:spPr>
            <c:extLst>
              <c:ext xmlns:c16="http://schemas.microsoft.com/office/drawing/2014/chart" uri="{C3380CC4-5D6E-409C-BE32-E72D297353CC}">
                <c16:uniqueId val="{00000003-59BF-4E3D-AC9B-FB26F0727DD3}"/>
              </c:ext>
            </c:extLst>
          </c:dPt>
          <c:dPt>
            <c:idx val="2"/>
            <c:invertIfNegative val="0"/>
            <c:bubble3D val="0"/>
            <c:spPr>
              <a:solidFill>
                <a:schemeClr val="bg2">
                  <a:lumMod val="50000"/>
                </a:schemeClr>
              </a:solidFill>
              <a:ln>
                <a:noFill/>
              </a:ln>
              <a:effectLst/>
            </c:spPr>
            <c:extLst>
              <c:ext xmlns:c16="http://schemas.microsoft.com/office/drawing/2014/chart" uri="{C3380CC4-5D6E-409C-BE32-E72D297353CC}">
                <c16:uniqueId val="{00000005-59BF-4E3D-AC9B-FB26F0727DD3}"/>
              </c:ext>
            </c:extLst>
          </c:dPt>
          <c:dPt>
            <c:idx val="3"/>
            <c:invertIfNegative val="0"/>
            <c:bubble3D val="0"/>
            <c:spPr>
              <a:solidFill>
                <a:schemeClr val="bg2">
                  <a:lumMod val="75000"/>
                </a:schemeClr>
              </a:solidFill>
              <a:ln>
                <a:noFill/>
              </a:ln>
              <a:effectLst/>
            </c:spPr>
            <c:extLst>
              <c:ext xmlns:c16="http://schemas.microsoft.com/office/drawing/2014/chart" uri="{C3380CC4-5D6E-409C-BE32-E72D297353CC}">
                <c16:uniqueId val="{00000007-59BF-4E3D-AC9B-FB26F0727DD3}"/>
              </c:ext>
            </c:extLst>
          </c:dPt>
          <c:dPt>
            <c:idx val="4"/>
            <c:invertIfNegative val="0"/>
            <c:bubble3D val="0"/>
            <c:spPr>
              <a:solidFill>
                <a:schemeClr val="bg2">
                  <a:lumMod val="90000"/>
                </a:schemeClr>
              </a:solidFill>
              <a:ln>
                <a:noFill/>
              </a:ln>
              <a:effectLst/>
            </c:spPr>
            <c:extLst>
              <c:ext xmlns:c16="http://schemas.microsoft.com/office/drawing/2014/chart" uri="{C3380CC4-5D6E-409C-BE32-E72D297353CC}">
                <c16:uniqueId val="{00000009-59BF-4E3D-AC9B-FB26F0727DD3}"/>
              </c:ext>
            </c:extLst>
          </c:dPt>
          <c:dPt>
            <c:idx val="5"/>
            <c:invertIfNegative val="0"/>
            <c:bubble3D val="0"/>
            <c:spPr>
              <a:solidFill>
                <a:schemeClr val="bg2">
                  <a:lumMod val="90000"/>
                </a:schemeClr>
              </a:solidFill>
              <a:ln>
                <a:noFill/>
              </a:ln>
              <a:effectLst/>
            </c:spPr>
            <c:extLst>
              <c:ext xmlns:c16="http://schemas.microsoft.com/office/drawing/2014/chart" uri="{C3380CC4-5D6E-409C-BE32-E72D297353CC}">
                <c16:uniqueId val="{0000000B-59BF-4E3D-AC9B-FB26F0727DD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lumMod val="1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'Sales by retailers '!$A$4:$A$10</c:f>
              <c:strCache>
                <c:ptCount val="6"/>
                <c:pt idx="0">
                  <c:v>West Gear</c:v>
                </c:pt>
                <c:pt idx="1">
                  <c:v>Foot Locker</c:v>
                </c:pt>
                <c:pt idx="2">
                  <c:v>Sports Direct</c:v>
                </c:pt>
                <c:pt idx="3">
                  <c:v>Kohl's</c:v>
                </c:pt>
                <c:pt idx="4">
                  <c:v>Amazon</c:v>
                </c:pt>
                <c:pt idx="5">
                  <c:v>Walmart</c:v>
                </c:pt>
              </c:strCache>
            </c:strRef>
          </c:cat>
          <c:val>
            <c:numRef>
              <c:f>'Sales by retailers '!$B$4:$B$10</c:f>
              <c:numCache>
                <c:formatCode>[&gt;999999]"$"#,###.0,,"M";General</c:formatCode>
                <c:ptCount val="6"/>
                <c:pt idx="0">
                  <c:v>242964333</c:v>
                </c:pt>
                <c:pt idx="1">
                  <c:v>220094720</c:v>
                </c:pt>
                <c:pt idx="2">
                  <c:v>182470997</c:v>
                </c:pt>
                <c:pt idx="3">
                  <c:v>102114753</c:v>
                </c:pt>
                <c:pt idx="4">
                  <c:v>77698912</c:v>
                </c:pt>
                <c:pt idx="5">
                  <c:v>74558410</c:v>
                </c:pt>
              </c:numCache>
            </c:numRef>
          </c:val>
          <c:extLst>
            <c:ext xmlns:c16="http://schemas.microsoft.com/office/drawing/2014/chart" uri="{C3380CC4-5D6E-409C-BE32-E72D297353CC}">
              <c16:uniqueId val="{0000000C-59BF-4E3D-AC9B-FB26F0727DD3}"/>
            </c:ext>
          </c:extLst>
        </c:ser>
        <c:dLbls>
          <c:dLblPos val="outEnd"/>
          <c:showLegendKey val="0"/>
          <c:showVal val="1"/>
          <c:showCatName val="0"/>
          <c:showSerName val="0"/>
          <c:showPercent val="0"/>
          <c:showBubbleSize val="0"/>
        </c:dLbls>
        <c:gapWidth val="44"/>
        <c:axId val="138598320"/>
        <c:axId val="138598704"/>
      </c:barChart>
      <c:catAx>
        <c:axId val="138598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2">
                    <a:lumMod val="10000"/>
                  </a:schemeClr>
                </a:solidFill>
                <a:latin typeface="+mn-lt"/>
                <a:ea typeface="+mn-ea"/>
                <a:cs typeface="+mn-cs"/>
              </a:defRPr>
            </a:pPr>
            <a:endParaRPr lang="en-US"/>
          </a:p>
        </c:txPr>
        <c:crossAx val="138598704"/>
        <c:crosses val="autoZero"/>
        <c:auto val="1"/>
        <c:lblAlgn val="ctr"/>
        <c:lblOffset val="100"/>
        <c:noMultiLvlLbl val="0"/>
      </c:catAx>
      <c:valAx>
        <c:axId val="138598704"/>
        <c:scaling>
          <c:orientation val="minMax"/>
        </c:scaling>
        <c:delete val="1"/>
        <c:axPos val="l"/>
        <c:numFmt formatCode="[&gt;999999]&quot;$&quot;#,###.0,,&quot;M&quot;;General" sourceLinked="1"/>
        <c:majorTickMark val="none"/>
        <c:minorTickMark val="none"/>
        <c:tickLblPos val="nextTo"/>
        <c:crossAx val="138598320"/>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Akinlemibola Adebola</dc:creator>
  <cp:keywords/>
  <dc:description/>
  <cp:lastModifiedBy>Akinlemibola Adebola</cp:lastModifiedBy>
  <cp:revision>4</cp:revision>
  <dcterms:created xsi:type="dcterms:W3CDTF">2025-05-12T14:37:00Z</dcterms:created>
  <dcterms:modified xsi:type="dcterms:W3CDTF">2025-05-12T16:48:00Z</dcterms:modified>
</cp:coreProperties>
</file>