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Week 4 Presentation Content</w:t>
      </w:r>
    </w:p>
    <w:p>
      <w:pPr>
        <w:spacing w:after="320"/>
        <w:jc w:val="center"/>
      </w:pPr>
      <w:r>
        <w:rPr>
          <w:rFonts w:ascii="Arial" w:hAnsi="Arial"/>
          <w:b/>
          <w:i w:val="0"/>
          <w:color w:val="1F4E78"/>
          <w:sz w:val="28"/>
        </w:rPr>
        <w:t>Final dashboard, recommendations and reproducible submission</w:t>
      </w:r>
    </w:p>
    <w:p>
      <w:pPr>
        <w:pStyle w:val="Heading1"/>
      </w:pPr>
      <w:r>
        <w:t>Presentation goal</w:t>
      </w:r>
    </w:p>
    <w:p>
      <w:pPr>
        <w:spacing w:after="180"/>
      </w:pPr>
      <w:r>
        <w:t>Demonstrate the complete system, defend model quality and limits, and present evidence-backed actions that can be tested safely.</w:t>
      </w:r>
    </w:p>
    <w:p>
      <w:pPr>
        <w:pStyle w:val="Heading1"/>
      </w:pPr>
      <w:r>
        <w:t>Deck map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141"/>
        <w:gridCol w:w="5141"/>
      </w:tblGrid>
      <w:tr>
        <w:trPr>
          <w:tblHeader w:val="true"/>
        </w:trPr>
        <w:tc>
          <w:tcPr>
            <w:tcW w:type="dxa" w:w="1037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Slide</w:t>
            </w:r>
          </w:p>
        </w:tc>
        <w:tc>
          <w:tcPr>
            <w:tcW w:type="dxa" w:w="8712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103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8"/>
              </w:rPr>
              <w:t>1</w:t>
            </w:r>
          </w:p>
        </w:tc>
        <w:tc>
          <w:tcPr>
            <w:tcW w:type="dxa" w:w="871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8"/>
              </w:rPr>
              <w:t>Final status and time review</w:t>
            </w:r>
          </w:p>
        </w:tc>
      </w:tr>
      <w:tr>
        <w:tc>
          <w:tcPr>
            <w:tcW w:type="dxa" w:w="1037"/>
            <w:shd w:fill="EEF5F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8"/>
              </w:rPr>
              <w:t>2</w:t>
            </w:r>
          </w:p>
        </w:tc>
        <w:tc>
          <w:tcPr>
            <w:tcW w:type="dxa" w:w="8712"/>
            <w:shd w:fill="EEF5F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8"/>
              </w:rPr>
              <w:t>End-to-end system demonstration</w:t>
            </w:r>
          </w:p>
        </w:tc>
      </w:tr>
      <w:tr>
        <w:tc>
          <w:tcPr>
            <w:tcW w:type="dxa" w:w="103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8"/>
              </w:rPr>
              <w:t>3</w:t>
            </w:r>
          </w:p>
        </w:tc>
        <w:tc>
          <w:tcPr>
            <w:tcW w:type="dxa" w:w="871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8"/>
              </w:rPr>
              <w:t>Final dashboard</w:t>
            </w:r>
          </w:p>
        </w:tc>
      </w:tr>
      <w:tr>
        <w:tc>
          <w:tcPr>
            <w:tcW w:type="dxa" w:w="1037"/>
            <w:shd w:fill="EEF5F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8"/>
              </w:rPr>
              <w:t>4</w:t>
            </w:r>
          </w:p>
        </w:tc>
        <w:tc>
          <w:tcPr>
            <w:tcW w:type="dxa" w:w="8712"/>
            <w:shd w:fill="EEF5F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8"/>
              </w:rPr>
              <w:t>Audience-segment findings</w:t>
            </w:r>
          </w:p>
        </w:tc>
      </w:tr>
      <w:tr>
        <w:tc>
          <w:tcPr>
            <w:tcW w:type="dxa" w:w="103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8"/>
              </w:rPr>
              <w:t>5</w:t>
            </w:r>
          </w:p>
        </w:tc>
        <w:tc>
          <w:tcPr>
            <w:tcW w:type="dxa" w:w="871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8"/>
              </w:rPr>
              <w:t>Model performance and governance</w:t>
            </w:r>
          </w:p>
        </w:tc>
      </w:tr>
      <w:tr>
        <w:tc>
          <w:tcPr>
            <w:tcW w:type="dxa" w:w="1037"/>
            <w:shd w:fill="EEF5F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8"/>
              </w:rPr>
              <w:t>6</w:t>
            </w:r>
          </w:p>
        </w:tc>
        <w:tc>
          <w:tcPr>
            <w:tcW w:type="dxa" w:w="8712"/>
            <w:shd w:fill="EEF5F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8"/>
              </w:rPr>
              <w:t>Content opportunities</w:t>
            </w:r>
          </w:p>
        </w:tc>
      </w:tr>
      <w:tr>
        <w:tc>
          <w:tcPr>
            <w:tcW w:type="dxa" w:w="103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8"/>
              </w:rPr>
              <w:t>7</w:t>
            </w:r>
          </w:p>
        </w:tc>
        <w:tc>
          <w:tcPr>
            <w:tcW w:type="dxa" w:w="871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8"/>
              </w:rPr>
              <w:t>Recommendations for promotion</w:t>
            </w:r>
          </w:p>
        </w:tc>
      </w:tr>
      <w:tr>
        <w:tc>
          <w:tcPr>
            <w:tcW w:type="dxa" w:w="1037"/>
            <w:shd w:fill="EEF5F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8"/>
              </w:rPr>
              <w:t>8</w:t>
            </w:r>
          </w:p>
        </w:tc>
        <w:tc>
          <w:tcPr>
            <w:tcW w:type="dxa" w:w="8712"/>
            <w:shd w:fill="EEF5F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8"/>
              </w:rPr>
              <w:t>Recommendations for testing and controls</w:t>
            </w:r>
          </w:p>
        </w:tc>
      </w:tr>
      <w:tr>
        <w:tc>
          <w:tcPr>
            <w:tcW w:type="dxa" w:w="1037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8"/>
              </w:rPr>
              <w:t>9</w:t>
            </w:r>
          </w:p>
        </w:tc>
        <w:tc>
          <w:tcPr>
            <w:tcW w:type="dxa" w:w="871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8"/>
              </w:rPr>
              <w:t>Final submission and reproducibility</w:t>
            </w:r>
          </w:p>
        </w:tc>
      </w:tr>
      <w:tr>
        <w:tc>
          <w:tcPr>
            <w:tcW w:type="dxa" w:w="1037"/>
            <w:shd w:fill="EEF5F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8"/>
              </w:rPr>
              <w:t>10</w:t>
            </w:r>
          </w:p>
        </w:tc>
        <w:tc>
          <w:tcPr>
            <w:tcW w:type="dxa" w:w="8712"/>
            <w:shd w:fill="EEF5F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8"/>
              </w:rPr>
              <w:t>Limitations, reflection and Q and A</w:t>
            </w:r>
          </w:p>
        </w:tc>
      </w:tr>
    </w:tbl>
    <w:p>
      <w:pPr>
        <w:spacing w:after="0"/>
      </w:pPr>
    </w:p>
    <w:p>
      <w:pPr>
        <w:pStyle w:val="Heading1"/>
      </w:pPr>
      <w:r>
        <w:t>Evidence to keep open during Q and A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18"/>
        </w:rPr>
        <w:t>dashboard/ for the Power BI project and semantic model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18"/>
        </w:rPr>
        <w:t>MySQL writeback tables and dashboard views in sql/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18"/>
        </w:rPr>
        <w:t>report/ and output/ for the final paper and deliverables</w:t>
      </w:r>
    </w:p>
    <w:p>
      <w:pPr>
        <w:spacing w:before="140"/>
      </w:pPr>
      <w:r>
        <w:rPr>
          <w:rFonts w:ascii="Arial" w:hAnsi="Arial"/>
          <w:b/>
          <w:i w:val="0"/>
          <w:color w:val="1F4E78"/>
          <w:sz w:val="18"/>
        </w:rPr>
        <w:t xml:space="preserve">How to use this file  </w:t>
      </w:r>
      <w:r>
        <w:rPr>
          <w:rFonts w:ascii="Arial" w:hAnsi="Arial"/>
          <w:b w:val="0"/>
          <w:i w:val="0"/>
          <w:color w:val="5F6B76"/>
          <w:sz w:val="18"/>
        </w:rPr>
        <w:t>Copy the on-slide text into PowerPoint. Use the visual direction to build the graphic, and rehearse from the speaker cue. Update blank actual-effort fields before presenting.</w:t>
      </w:r>
    </w:p>
    <w:p>
      <w:r>
        <w:br w:type="page"/>
      </w:r>
    </w:p>
    <w:p>
      <w:pPr>
        <w:pStyle w:val="Heading1"/>
      </w:pPr>
      <w:r>
        <w:t>Slide 1  Week 4 closes the analytical and reporting loop</w:t>
      </w:r>
    </w:p>
    <w:p>
      <w:pPr>
        <w:pStyle w:val="Heading2"/>
      </w:pPr>
      <w:r>
        <w:t>On-slide copy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WHAT: demonstrate the full pipeline, final dashboard, recommendations, paper and reproducible repository.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WHEN: freeze the model version and dashboard data before the final presentation.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WHY: the final assessment requires one defensible chain from source data to decision.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PLANNED EFFORT: 16-20 team hours. ACTUAL EFFORT: ______ hours. GAP: ______ hours.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ACTION FROM GAP: ________________________________________________________________</w:t>
      </w:r>
    </w:p>
    <w:p>
      <w:pPr>
        <w:spacing w:before="40" w:after="40"/>
      </w:pPr>
      <w:r>
        <w:rPr>
          <w:rFonts w:ascii="Arial" w:hAnsi="Arial"/>
          <w:b/>
          <w:i w:val="0"/>
          <w:color w:val="1F4E78"/>
          <w:sz w:val="19"/>
        </w:rPr>
        <w:t xml:space="preserve">Visual direction  </w:t>
      </w:r>
      <w:r>
        <w:rPr>
          <w:rFonts w:ascii="Arial" w:hAnsi="Arial"/>
          <w:b w:val="0"/>
          <w:i w:val="0"/>
          <w:color w:val="5F6B76"/>
          <w:sz w:val="19"/>
        </w:rPr>
        <w:t>Use a completion checklist with one evidence link per deliverable.</w:t>
      </w:r>
    </w:p>
    <w:p>
      <w:pPr>
        <w:spacing w:before="40" w:after="40"/>
      </w:pPr>
      <w:r>
        <w:rPr>
          <w:rFonts w:ascii="Arial" w:hAnsi="Arial"/>
          <w:b/>
          <w:i w:val="0"/>
          <w:color w:val="1F4E78"/>
          <w:sz w:val="19"/>
        </w:rPr>
        <w:t xml:space="preserve">Speaker cue  </w:t>
      </w:r>
      <w:r>
        <w:rPr>
          <w:rFonts w:ascii="Arial" w:hAnsi="Arial"/>
          <w:b w:val="0"/>
          <w:i w:val="0"/>
          <w:color w:val="5F6B76"/>
          <w:sz w:val="19"/>
        </w:rPr>
        <w:t>State the final model version and data refresh time at the start of the live demo.</w:t>
      </w:r>
    </w:p>
    <w:p>
      <w:pPr>
        <w:spacing w:after="120"/>
      </w:pPr>
    </w:p>
    <w:p>
      <w:pPr>
        <w:pStyle w:val="Heading1"/>
      </w:pPr>
      <w:r>
        <w:t>Slide 2  The system runs from raw files to governed decisions</w:t>
      </w:r>
    </w:p>
    <w:p>
      <w:pPr>
        <w:pStyle w:val="Heading2"/>
      </w:pPr>
      <w:r>
        <w:t>On-slide copy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MovieLens files are validated and loaded into MySQL.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KNIME reads curated tables, creates leakage-safe features and runs K Means plus Logistic Regression.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Segments, predictions and metrics are written back to versioned MySQL tables.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Power BI reads dashboard views and exposes evidence through filters and five pages.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Recommendations use model evidence only after coverage, support and limitations are checked.</w:t>
      </w:r>
    </w:p>
    <w:p>
      <w:pPr>
        <w:spacing w:before="40" w:after="40"/>
      </w:pPr>
      <w:r>
        <w:rPr>
          <w:rFonts w:ascii="Arial" w:hAnsi="Arial"/>
          <w:b/>
          <w:i w:val="0"/>
          <w:color w:val="1F4E78"/>
          <w:sz w:val="19"/>
        </w:rPr>
        <w:t xml:space="preserve">Visual direction  </w:t>
      </w:r>
      <w:r>
        <w:rPr>
          <w:rFonts w:ascii="Arial" w:hAnsi="Arial"/>
          <w:b w:val="0"/>
          <w:i w:val="0"/>
          <w:color w:val="5F6B76"/>
          <w:sz w:val="19"/>
        </w:rPr>
        <w:t>Use tmp/report/figures/architecture.png. Animate one stage at a time if presenting in PowerPoint.</w:t>
      </w:r>
    </w:p>
    <w:p>
      <w:pPr>
        <w:spacing w:before="40" w:after="40"/>
      </w:pPr>
      <w:r>
        <w:rPr>
          <w:rFonts w:ascii="Arial" w:hAnsi="Arial"/>
          <w:b/>
          <w:i w:val="0"/>
          <w:color w:val="1F4E78"/>
          <w:sz w:val="19"/>
        </w:rPr>
        <w:t xml:space="preserve">Speaker cue  </w:t>
      </w:r>
      <w:r>
        <w:rPr>
          <w:rFonts w:ascii="Arial" w:hAnsi="Arial"/>
          <w:b w:val="0"/>
          <w:i w:val="0"/>
          <w:color w:val="5F6B76"/>
          <w:sz w:val="19"/>
        </w:rPr>
        <w:t>Demonstrate one traceable record or KPI across the layers. The purpose is proof of integration, not a tour of every script.</w:t>
      </w:r>
    </w:p>
    <w:p>
      <w:r>
        <w:br w:type="page"/>
      </w:r>
    </w:p>
    <w:p>
      <w:pPr>
        <w:pStyle w:val="Heading1"/>
      </w:pPr>
      <w:r>
        <w:t>Slide 3  Five dashboard pages separate decisions from governance</w:t>
      </w:r>
    </w:p>
    <w:p>
      <w:pPr>
        <w:pStyle w:val="Heading2"/>
      </w:pPr>
      <w:r>
        <w:t>On-slide copy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Executive Overview answers whether the project has usable evidence and where action is concentrated.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Audience Segments explains who the model groups and how those groups differ.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Positive Engagement Model shows accuracy, discrimination, errors and coverage.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Content Opportunity Matrix compares predicted appeal, actual response, historical popularity and support.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Model Governance records versions, thresholds, split logic and limitations.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Filters for model version, segment, genre and minimum support keep comparisons consistent.</w:t>
      </w:r>
    </w:p>
    <w:p>
      <w:pPr>
        <w:spacing w:before="40" w:after="40"/>
      </w:pPr>
      <w:r>
        <w:rPr>
          <w:rFonts w:ascii="Arial" w:hAnsi="Arial"/>
          <w:b/>
          <w:i w:val="0"/>
          <w:color w:val="1F4E78"/>
          <w:sz w:val="19"/>
        </w:rPr>
        <w:t xml:space="preserve">Visual direction  </w:t>
      </w:r>
      <w:r>
        <w:rPr>
          <w:rFonts w:ascii="Arial" w:hAnsi="Arial"/>
          <w:b w:val="0"/>
          <w:i w:val="0"/>
          <w:color w:val="5F6B76"/>
          <w:sz w:val="19"/>
        </w:rPr>
        <w:t>Use tmp/report/figures/dashboard_map.png, then switch to the live PBIP dashboard.</w:t>
      </w:r>
    </w:p>
    <w:p>
      <w:pPr>
        <w:spacing w:before="40" w:after="40"/>
      </w:pPr>
      <w:r>
        <w:rPr>
          <w:rFonts w:ascii="Arial" w:hAnsi="Arial"/>
          <w:b/>
          <w:i w:val="0"/>
          <w:color w:val="1F4E78"/>
          <w:sz w:val="19"/>
        </w:rPr>
        <w:t xml:space="preserve">Speaker cue  </w:t>
      </w:r>
      <w:r>
        <w:rPr>
          <w:rFonts w:ascii="Arial" w:hAnsi="Arial"/>
          <w:b w:val="0"/>
          <w:i w:val="0"/>
          <w:color w:val="5F6B76"/>
          <w:sz w:val="19"/>
        </w:rPr>
        <w:t>Show the same filter path across pages so the audience sees how one question becomes a governed decision.</w:t>
      </w:r>
    </w:p>
    <w:p>
      <w:pPr>
        <w:spacing w:after="120"/>
      </w:pPr>
    </w:p>
    <w:p>
      <w:pPr>
        <w:pStyle w:val="Heading1"/>
      </w:pPr>
      <w:r>
        <w:t>Slide 4  Segments support different curation strategies</w:t>
      </w:r>
    </w:p>
    <w:p>
      <w:pPr>
        <w:pStyle w:val="Heading2"/>
      </w:pPr>
      <w:r>
        <w:t>On-slide copy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Genre Specialists are the largest segment and have the highest positive-rating rate at 71.43%.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Selective Critics provide the strongest title-level support because they average 385.3 TRAIN ratings per user.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Diverse Explorers show relative thriller and action affinity.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Mainstream Enthusiasts show relative family and animation affinity but the lowest positive rate at 42.06%.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K=4 was retained for interpretability even though K=5 had a slightly higher silhouette.</w:t>
      </w:r>
    </w:p>
    <w:p>
      <w:pPr>
        <w:spacing w:before="40" w:after="40"/>
      </w:pPr>
      <w:r>
        <w:rPr>
          <w:rFonts w:ascii="Arial" w:hAnsi="Arial"/>
          <w:b/>
          <w:i w:val="0"/>
          <w:color w:val="1F4E78"/>
          <w:sz w:val="19"/>
        </w:rPr>
        <w:t xml:space="preserve">Visual direction  </w:t>
      </w:r>
      <w:r>
        <w:rPr>
          <w:rFonts w:ascii="Arial" w:hAnsi="Arial"/>
          <w:b w:val="0"/>
          <w:i w:val="0"/>
          <w:color w:val="5F6B76"/>
          <w:sz w:val="19"/>
        </w:rPr>
        <w:t>Use the segment profile panel from tmp/report/figures/clustering_summary.png.</w:t>
      </w:r>
    </w:p>
    <w:p>
      <w:pPr>
        <w:spacing w:before="40" w:after="40"/>
      </w:pPr>
      <w:r>
        <w:rPr>
          <w:rFonts w:ascii="Arial" w:hAnsi="Arial"/>
          <w:b/>
          <w:i w:val="0"/>
          <w:color w:val="1F4E78"/>
          <w:sz w:val="19"/>
        </w:rPr>
        <w:t xml:space="preserve">Speaker cue  </w:t>
      </w:r>
      <w:r>
        <w:rPr>
          <w:rFonts w:ascii="Arial" w:hAnsi="Arial"/>
          <w:b w:val="0"/>
          <w:i w:val="0"/>
          <w:color w:val="5F6B76"/>
          <w:sz w:val="19"/>
        </w:rPr>
        <w:t>Translate profiles into curation hypotheses. Do not treat the labels as fixed identities or causal explanations.</w:t>
      </w:r>
    </w:p>
    <w:p>
      <w:r>
        <w:br w:type="page"/>
      </w:r>
    </w:p>
    <w:p>
      <w:pPr>
        <w:pStyle w:val="Heading1"/>
      </w:pPr>
      <w:r>
        <w:t>Slide 5  The engagement model adds lift but has narrow TEST coverage</w:t>
      </w:r>
    </w:p>
    <w:p>
      <w:pPr>
        <w:pStyle w:val="Heading2"/>
      </w:pPr>
      <w:r>
        <w:t>On-slide copy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Accuracy is 69.26%, 9.93 percentage points above the 59.32% baseline.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AUC is 75.83%; F1 is 64.92%; precision is 60.58%; recall is 69.94%.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The model evaluates 76,633 TEST rows, equal to 5.11% coverage.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Cold-start exclusions account for 94.89% of TEST rows, so the model is a warm-start decision aid.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Governance controls: chronological splits, TRAIN-only aggregates, minimum support and model-version filters.</w:t>
      </w:r>
    </w:p>
    <w:p>
      <w:pPr>
        <w:spacing w:before="40" w:after="40"/>
      </w:pPr>
      <w:r>
        <w:rPr>
          <w:rFonts w:ascii="Arial" w:hAnsi="Arial"/>
          <w:b/>
          <w:i w:val="0"/>
          <w:color w:val="1F4E78"/>
          <w:sz w:val="19"/>
        </w:rPr>
        <w:t xml:space="preserve">Visual direction  </w:t>
      </w:r>
      <w:r>
        <w:rPr>
          <w:rFonts w:ascii="Arial" w:hAnsi="Arial"/>
          <w:b w:val="0"/>
          <w:i w:val="0"/>
          <w:color w:val="5F6B76"/>
          <w:sz w:val="19"/>
        </w:rPr>
        <w:t>Use tmp/report/figures/model_evaluation.png with a large 5.11% coverage label.</w:t>
      </w:r>
    </w:p>
    <w:p>
      <w:pPr>
        <w:spacing w:before="40" w:after="40"/>
      </w:pPr>
      <w:r>
        <w:rPr>
          <w:rFonts w:ascii="Arial" w:hAnsi="Arial"/>
          <w:b/>
          <w:i w:val="0"/>
          <w:color w:val="1F4E78"/>
          <w:sz w:val="19"/>
        </w:rPr>
        <w:t xml:space="preserve">Speaker cue  </w:t>
      </w:r>
      <w:r>
        <w:rPr>
          <w:rFonts w:ascii="Arial" w:hAnsi="Arial"/>
          <w:b w:val="0"/>
          <w:i w:val="0"/>
          <w:color w:val="5F6B76"/>
          <w:sz w:val="19"/>
        </w:rPr>
        <w:t>Answer performance questions with both quality and applicability: how well the model ranks covered rows, and how many rows it covers.</w:t>
      </w:r>
    </w:p>
    <w:p>
      <w:pPr>
        <w:spacing w:after="120"/>
      </w:pPr>
    </w:p>
    <w:p>
      <w:pPr>
        <w:pStyle w:val="Heading1"/>
      </w:pPr>
      <w:r>
        <w:t>Slide 6  The opportunity matrix distinguishes promotion from overexposure</w:t>
      </w:r>
    </w:p>
    <w:p>
      <w:pPr>
        <w:pStyle w:val="Heading2"/>
      </w:pPr>
      <w:r>
        <w:t>On-slide copy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Only Selective Critics has title-segment pairs with support &gt;= 50: 107 qualifying pairs.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Hidden opportunities include Hotel Rwanda, My Neighbor Totoro, City of God and Oldboy.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The Incredibles has high predicted appeal but a lower actual positive rate, so it needs testing rather than automatic promotion.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Overexposed candidates include Home Alone, Star Wars Episode I, Twister and The Mask.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Support thresholds prevent unstable small samples from driving the recommendation list.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056"/>
        <w:gridCol w:w="2056"/>
        <w:gridCol w:w="2056"/>
        <w:gridCol w:w="2056"/>
        <w:gridCol w:w="2056"/>
      </w:tblGrid>
      <w:tr>
        <w:trPr>
          <w:tblHeader w:val="true"/>
        </w:trPr>
        <w:tc>
          <w:tcPr>
            <w:tcW w:type="dxa" w:w="3024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Title</w:t>
            </w:r>
          </w:p>
        </w:tc>
        <w:tc>
          <w:tcPr>
            <w:tcW w:type="dxa" w:w="1224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Support</w:t>
            </w:r>
          </w:p>
        </w:tc>
        <w:tc>
          <w:tcPr>
            <w:tcW w:type="dxa" w:w="1512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Predicted</w:t>
            </w:r>
          </w:p>
        </w:tc>
        <w:tc>
          <w:tcPr>
            <w:tcW w:type="dxa" w:w="1296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Actual</w:t>
            </w:r>
          </w:p>
        </w:tc>
        <w:tc>
          <w:tcPr>
            <w:tcW w:type="dxa" w:w="2160"/>
            <w:shd w:fill="1F4E78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6"/>
              </w:rPr>
              <w:t>TRAIN popularity</w:t>
            </w:r>
          </w:p>
        </w:tc>
      </w:tr>
      <w:tr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  <w:t>Hotel Rwanda</w:t>
            </w:r>
          </w:p>
        </w:tc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  <w:t>108</w:t>
            </w:r>
          </w:p>
        </w:tc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  <w:t>76.72%</w:t>
            </w:r>
          </w:p>
        </w:tc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  <w:t>77.78%</w:t>
            </w:r>
          </w:p>
        </w:tc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  <w:t>215</w:t>
            </w:r>
          </w:p>
        </w:tc>
      </w:tr>
      <w:tr>
        <w:tc>
          <w:tcPr>
            <w:tcW w:type="dxa" w:w="3024"/>
            <w:shd w:fill="EEF5F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  <w:t>My Neighbor Totoro</w:t>
            </w:r>
          </w:p>
        </w:tc>
        <w:tc>
          <w:tcPr>
            <w:tcW w:type="dxa" w:w="1224"/>
            <w:shd w:fill="EEF5F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  <w:t>58</w:t>
            </w:r>
          </w:p>
        </w:tc>
        <w:tc>
          <w:tcPr>
            <w:tcW w:type="dxa" w:w="1512"/>
            <w:shd w:fill="EEF5F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  <w:t>74.87%</w:t>
            </w:r>
          </w:p>
        </w:tc>
        <w:tc>
          <w:tcPr>
            <w:tcW w:type="dxa" w:w="1296"/>
            <w:shd w:fill="EEF5F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  <w:t>74.14%</w:t>
            </w:r>
          </w:p>
        </w:tc>
        <w:tc>
          <w:tcPr>
            <w:tcW w:type="dxa" w:w="2160"/>
            <w:shd w:fill="EEF5F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  <w:t>487</w:t>
            </w:r>
          </w:p>
        </w:tc>
      </w:tr>
      <w:tr>
        <w:tc>
          <w:tcPr>
            <w:tcW w:type="dxa" w:w="302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  <w:t>City of God</w:t>
            </w:r>
          </w:p>
        </w:tc>
        <w:tc>
          <w:tcPr>
            <w:tcW w:type="dxa" w:w="1224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  <w:t>60</w:t>
            </w:r>
          </w:p>
        </w:tc>
        <w:tc>
          <w:tcPr>
            <w:tcW w:type="dxa" w:w="1512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  <w:t>71.66%</w:t>
            </w:r>
          </w:p>
        </w:tc>
        <w:tc>
          <w:tcPr>
            <w:tcW w:type="dxa" w:w="1296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  <w:t>70.00%</w:t>
            </w:r>
          </w:p>
        </w:tc>
        <w:tc>
          <w:tcPr>
            <w:tcW w:type="dxa" w:w="2160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  <w:t>968</w:t>
            </w:r>
          </w:p>
        </w:tc>
      </w:tr>
      <w:tr>
        <w:tc>
          <w:tcPr>
            <w:tcW w:type="dxa" w:w="3024"/>
            <w:shd w:fill="EEF5F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  <w:t>Oldboy</w:t>
            </w:r>
          </w:p>
        </w:tc>
        <w:tc>
          <w:tcPr>
            <w:tcW w:type="dxa" w:w="1224"/>
            <w:shd w:fill="EEF5F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  <w:t>52</w:t>
            </w:r>
          </w:p>
        </w:tc>
        <w:tc>
          <w:tcPr>
            <w:tcW w:type="dxa" w:w="1512"/>
            <w:shd w:fill="EEF5F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  <w:t>69.94%</w:t>
            </w:r>
          </w:p>
        </w:tc>
        <w:tc>
          <w:tcPr>
            <w:tcW w:type="dxa" w:w="1296"/>
            <w:shd w:fill="EEF5F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  <w:t>67.31%</w:t>
            </w:r>
          </w:p>
        </w:tc>
        <w:tc>
          <w:tcPr>
            <w:tcW w:type="dxa" w:w="2160"/>
            <w:shd w:fill="EEF5FA"/>
            <w:tcMar>
              <w:top w:w="90" w:type="dxa"/>
              <w:start w:w="110" w:type="dxa"/>
              <w:bottom w:w="90" w:type="dxa"/>
              <w:end w:w="110" w:type="dxa"/>
            </w:tcMar>
            <w:vAlign w:val="top"/>
          </w:tcPr>
          <w:p>
            <w:pPr>
              <w:spacing w:after="0" w:line="240" w:lineRule="auto"/>
            </w:pPr>
            <w:r>
              <w:rPr>
                <w:rFonts w:ascii="Arial" w:hAnsi="Arial"/>
                <w:b w:val="0"/>
                <w:i w:val="0"/>
                <w:color w:val="1F1F1F"/>
                <w:sz w:val="16"/>
              </w:rPr>
              <w:t>72</w:t>
            </w:r>
          </w:p>
        </w:tc>
      </w:tr>
    </w:tbl>
    <w:p>
      <w:pPr>
        <w:spacing w:after="0"/>
      </w:pPr>
    </w:p>
    <w:p>
      <w:pPr>
        <w:spacing w:before="40" w:after="40"/>
      </w:pPr>
      <w:r>
        <w:rPr>
          <w:rFonts w:ascii="Arial" w:hAnsi="Arial"/>
          <w:b/>
          <w:i w:val="0"/>
          <w:color w:val="1F4E78"/>
          <w:sz w:val="19"/>
        </w:rPr>
        <w:t xml:space="preserve">Visual direction  </w:t>
      </w:r>
      <w:r>
        <w:rPr>
          <w:rFonts w:ascii="Arial" w:hAnsi="Arial"/>
          <w:b w:val="0"/>
          <w:i w:val="0"/>
          <w:color w:val="5F6B76"/>
          <w:sz w:val="19"/>
        </w:rPr>
        <w:t>Use tmp/report/figures/content_opportunity.png and label the four action quadrants.</w:t>
      </w:r>
    </w:p>
    <w:p>
      <w:pPr>
        <w:spacing w:before="40" w:after="40"/>
      </w:pPr>
      <w:r>
        <w:rPr>
          <w:rFonts w:ascii="Arial" w:hAnsi="Arial"/>
          <w:b/>
          <w:i w:val="0"/>
          <w:color w:val="1F4E78"/>
          <w:sz w:val="19"/>
        </w:rPr>
        <w:t xml:space="preserve">Speaker cue  </w:t>
      </w:r>
      <w:r>
        <w:rPr>
          <w:rFonts w:ascii="Arial" w:hAnsi="Arial"/>
          <w:b w:val="0"/>
          <w:i w:val="0"/>
          <w:color w:val="5F6B76"/>
          <w:sz w:val="19"/>
        </w:rPr>
        <w:t>Explain that opportunity is a prioritization signal. It does not prove that a campaign will cause higher engagement.</w:t>
      </w:r>
    </w:p>
    <w:p>
      <w:r>
        <w:br w:type="page"/>
      </w:r>
    </w:p>
    <w:p>
      <w:pPr>
        <w:pStyle w:val="Heading1"/>
      </w:pPr>
      <w:r>
        <w:t>Slide 7  Promote validated hidden opportunities to Selective Critics</w:t>
      </w:r>
    </w:p>
    <w:p>
      <w:pPr>
        <w:pStyle w:val="Heading2"/>
      </w:pPr>
      <w:r>
        <w:t>On-slide copy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Recommendation 1: test Hotel Rwanda and My Neighbor Totoro in Selective Critics placements because predicted and actual positive rates both exceed 74% with support above 50.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Recommendation 2: add City of God and Oldboy to discovery rows where low historical popularity is the main constraint.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Primary measure: positive-rating rate among eligible warm-start users; guardrails: minimum support, exposure count and title-level complaint or hide rate if available.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Owner: content strategy with analytics review. Decision window: one controlled campaign cycle.</w:t>
      </w:r>
    </w:p>
    <w:p>
      <w:pPr>
        <w:spacing w:before="40" w:after="40"/>
      </w:pPr>
      <w:r>
        <w:rPr>
          <w:rFonts w:ascii="Arial" w:hAnsi="Arial"/>
          <w:b/>
          <w:i w:val="0"/>
          <w:color w:val="1F4E78"/>
          <w:sz w:val="19"/>
        </w:rPr>
        <w:t xml:space="preserve">Visual direction  </w:t>
      </w:r>
      <w:r>
        <w:rPr>
          <w:rFonts w:ascii="Arial" w:hAnsi="Arial"/>
          <w:b w:val="0"/>
          <w:i w:val="0"/>
          <w:color w:val="5F6B76"/>
          <w:sz w:val="19"/>
        </w:rPr>
        <w:t>Use two recommendation cards only in the slide deck, each with evidence, owner and test measure.</w:t>
      </w:r>
    </w:p>
    <w:p>
      <w:pPr>
        <w:spacing w:before="40" w:after="40"/>
      </w:pPr>
      <w:r>
        <w:rPr>
          <w:rFonts w:ascii="Arial" w:hAnsi="Arial"/>
          <w:b/>
          <w:i w:val="0"/>
          <w:color w:val="1F4E78"/>
          <w:sz w:val="19"/>
        </w:rPr>
        <w:t xml:space="preserve">Speaker cue  </w:t>
      </w:r>
      <w:r>
        <w:rPr>
          <w:rFonts w:ascii="Arial" w:hAnsi="Arial"/>
          <w:b w:val="0"/>
          <w:i w:val="0"/>
          <w:color w:val="5F6B76"/>
          <w:sz w:val="19"/>
        </w:rPr>
        <w:t>State why these titles qualify: high predicted appeal, aligned actual response, sufficient support and comparatively low popularity.</w:t>
      </w:r>
    </w:p>
    <w:p>
      <w:pPr>
        <w:spacing w:after="120"/>
      </w:pPr>
    </w:p>
    <w:p>
      <w:pPr>
        <w:pStyle w:val="Heading1"/>
      </w:pPr>
      <w:r>
        <w:t>Slide 8  Use experiments for uncertain titles and reduce overexposure</w:t>
      </w:r>
    </w:p>
    <w:p>
      <w:pPr>
        <w:pStyle w:val="Heading2"/>
      </w:pPr>
      <w:r>
        <w:t>On-slide copy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Recommendation 3: A/B test The Incredibles because predicted appeal is 74.45% but actual positive response is 60.75%.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Recommendation 4: reduce default placement of Home Alone, Star Wars Episode I, Twister and The Mask for this segment; test alternative discovery titles instead.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Randomize eligible users, keep placement and timing consistent, and compare positive response with confidence intervals.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Do not generalize beyond warm-start users or claim revenue impact without exposure and commercial outcome data.</w:t>
      </w:r>
    </w:p>
    <w:p>
      <w:pPr>
        <w:spacing w:before="40" w:after="40"/>
      </w:pPr>
      <w:r>
        <w:rPr>
          <w:rFonts w:ascii="Arial" w:hAnsi="Arial"/>
          <w:b/>
          <w:i w:val="0"/>
          <w:color w:val="1F4E78"/>
          <w:sz w:val="19"/>
        </w:rPr>
        <w:t xml:space="preserve">Visual direction  </w:t>
      </w:r>
      <w:r>
        <w:rPr>
          <w:rFonts w:ascii="Arial" w:hAnsi="Arial"/>
          <w:b w:val="0"/>
          <w:i w:val="0"/>
          <w:color w:val="5F6B76"/>
          <w:sz w:val="19"/>
        </w:rPr>
        <w:t>Use a simple test design: eligible users -&gt; random assignment -&gt; content variants -&gt; measured response.</w:t>
      </w:r>
    </w:p>
    <w:p>
      <w:pPr>
        <w:spacing w:before="40" w:after="40"/>
      </w:pPr>
      <w:r>
        <w:rPr>
          <w:rFonts w:ascii="Arial" w:hAnsi="Arial"/>
          <w:b/>
          <w:i w:val="0"/>
          <w:color w:val="1F4E78"/>
          <w:sz w:val="19"/>
        </w:rPr>
        <w:t xml:space="preserve">Speaker cue  </w:t>
      </w:r>
      <w:r>
        <w:rPr>
          <w:rFonts w:ascii="Arial" w:hAnsi="Arial"/>
          <w:b w:val="0"/>
          <w:i w:val="0"/>
          <w:color w:val="5F6B76"/>
          <w:sz w:val="19"/>
        </w:rPr>
        <w:t>Frame reduction as reallocation within one segment, not a global removal decision.</w:t>
      </w:r>
    </w:p>
    <w:p>
      <w:pPr>
        <w:spacing w:before="40" w:after="40"/>
      </w:pPr>
      <w:r>
        <w:rPr>
          <w:rFonts w:ascii="Arial" w:hAnsi="Arial"/>
          <w:b/>
          <w:i w:val="0"/>
          <w:color w:val="1F4E78"/>
          <w:sz w:val="19"/>
        </w:rPr>
        <w:t xml:space="preserve">Evidence  </w:t>
      </w:r>
      <w:r>
        <w:rPr>
          <w:rFonts w:ascii="Arial" w:hAnsi="Arial"/>
          <w:b w:val="0"/>
          <w:i w:val="0"/>
          <w:color w:val="5F6B76"/>
          <w:sz w:val="19"/>
        </w:rPr>
        <w:t>Home Alone actual positive rate 17.65%; Star Wars Episode I 19.61%; Twister 10.17%; The Mask 5.66% for qualifying Selective Critics pairs.</w:t>
      </w:r>
    </w:p>
    <w:p>
      <w:r>
        <w:br w:type="page"/>
      </w:r>
    </w:p>
    <w:p>
      <w:pPr>
        <w:pStyle w:val="Heading1"/>
      </w:pPr>
      <w:r>
        <w:t>Slide 9  The final submission is reproducible from repository assets</w:t>
      </w:r>
    </w:p>
    <w:p>
      <w:pPr>
        <w:pStyle w:val="Heading2"/>
      </w:pPr>
      <w:r>
        <w:t>On-slide copy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Repository contains setup guidance, SQL scripts, KNIME documentation, Power BI project files, evidence outputs and the report.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The IEEE-style paper covers Abstract, Keywords, Introduction, Related Work, Methodology, Experiments and Results, Discussion and Recommendations, Conclusion and References.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The paper should remain within 6-10 pages and cite at least five credible sources.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Before submission, confirm clean credentials, relative paths, model version consistency and a fresh dashboard refresh.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Archive the exact inputs and outputs used in the live demo.</w:t>
      </w:r>
    </w:p>
    <w:p>
      <w:pPr>
        <w:spacing w:before="40" w:after="40"/>
      </w:pPr>
      <w:r>
        <w:rPr>
          <w:rFonts w:ascii="Arial" w:hAnsi="Arial"/>
          <w:b/>
          <w:i w:val="0"/>
          <w:color w:val="1F4E78"/>
          <w:sz w:val="19"/>
        </w:rPr>
        <w:t xml:space="preserve">Visual direction  </w:t>
      </w:r>
      <w:r>
        <w:rPr>
          <w:rFonts w:ascii="Arial" w:hAnsi="Arial"/>
          <w:b w:val="0"/>
          <w:i w:val="0"/>
          <w:color w:val="5F6B76"/>
          <w:sz w:val="19"/>
        </w:rPr>
        <w:t>Use a repository tree with check marks beside reproducibility-critical folders.</w:t>
      </w:r>
    </w:p>
    <w:p>
      <w:pPr>
        <w:spacing w:before="40" w:after="40"/>
      </w:pPr>
      <w:r>
        <w:rPr>
          <w:rFonts w:ascii="Arial" w:hAnsi="Arial"/>
          <w:b/>
          <w:i w:val="0"/>
          <w:color w:val="1F4E78"/>
          <w:sz w:val="19"/>
        </w:rPr>
        <w:t xml:space="preserve">Speaker cue  </w:t>
      </w:r>
      <w:r>
        <w:rPr>
          <w:rFonts w:ascii="Arial" w:hAnsi="Arial"/>
          <w:b w:val="0"/>
          <w:i w:val="0"/>
          <w:color w:val="5F6B76"/>
          <w:sz w:val="19"/>
        </w:rPr>
        <w:t>Name the command or workflow sequence needed to rebuild the outputs. Avoid saying only that the repository is complete.</w:t>
      </w:r>
    </w:p>
    <w:p>
      <w:pPr>
        <w:spacing w:after="120"/>
      </w:pPr>
    </w:p>
    <w:p>
      <w:pPr>
        <w:pStyle w:val="Heading1"/>
      </w:pPr>
      <w:r>
        <w:t>Slide 10  The conclusion keeps decisions within the evidence</w:t>
      </w:r>
    </w:p>
    <w:p>
      <w:pPr>
        <w:pStyle w:val="Heading2"/>
      </w:pPr>
      <w:r>
        <w:t>On-slide copy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What worked: end-to-end integration, out-of-time evaluation, interpretable models and decision-oriented writeback.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What remains limited: historical data, no exposure or revenue outcomes, overlapping clusters and low warm-start TEST coverage.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Next step: run controlled experiments on qualifying opportunities and monitor coverage before expanding use.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PLAN VERSUS ACTUAL: planned ______ hours; actual ______ hours; gap ______ hours.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Team reflection and corrective action: ________________________________________________</w:t>
      </w:r>
    </w:p>
    <w:p>
      <w:pPr>
        <w:pStyle w:val="ListBullet"/>
        <w:spacing w:after="30" w:line="240" w:lineRule="auto"/>
      </w:pPr>
      <w:r>
        <w:rPr>
          <w:rFonts w:ascii="Arial" w:hAnsi="Arial"/>
          <w:b w:val="0"/>
          <w:i w:val="0"/>
          <w:color w:val="1F1F1F"/>
          <w:sz w:val="20"/>
        </w:rPr>
        <w:t>Q and A backup: data quality, split dates, leakage controls, K choice, confusion matrix, coverage and recommendation thresholds.</w:t>
      </w:r>
    </w:p>
    <w:p>
      <w:pPr>
        <w:spacing w:before="40" w:after="40"/>
      </w:pPr>
      <w:r>
        <w:rPr>
          <w:rFonts w:ascii="Arial" w:hAnsi="Arial"/>
          <w:b/>
          <w:i w:val="0"/>
          <w:color w:val="1F4E78"/>
          <w:sz w:val="19"/>
        </w:rPr>
        <w:t xml:space="preserve">Visual direction  </w:t>
      </w:r>
      <w:r>
        <w:rPr>
          <w:rFonts w:ascii="Arial" w:hAnsi="Arial"/>
          <w:b w:val="0"/>
          <w:i w:val="0"/>
          <w:color w:val="5F6B76"/>
          <w:sz w:val="19"/>
        </w:rPr>
        <w:t>End on one summary diagram: evidence -&gt; bounded decision -&gt; experiment -&gt; learning.</w:t>
      </w:r>
    </w:p>
    <w:p>
      <w:pPr>
        <w:spacing w:before="40" w:after="40"/>
      </w:pPr>
      <w:r>
        <w:rPr>
          <w:rFonts w:ascii="Arial" w:hAnsi="Arial"/>
          <w:b/>
          <w:i w:val="0"/>
          <w:color w:val="1F4E78"/>
          <w:sz w:val="19"/>
        </w:rPr>
        <w:t xml:space="preserve">Speaker cue  </w:t>
      </w:r>
      <w:r>
        <w:rPr>
          <w:rFonts w:ascii="Arial" w:hAnsi="Arial"/>
          <w:b w:val="0"/>
          <w:i w:val="0"/>
          <w:color w:val="5F6B76"/>
          <w:sz w:val="19"/>
        </w:rPr>
        <w:t>Invite questions on the evidence chain. If asked about business impact, distinguish model performance from causal campaign lift.</w:t>
      </w:r>
    </w:p>
    <w:p>
      <w:pPr>
        <w:spacing w:after="1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979" w:bottom="893" w:left="979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5F6B76"/>
        <w:sz w:val="16"/>
      </w:rPr>
      <w:t>Big Data Analytics  |  Weekly presentation brief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i w:val="0"/>
        <w:color w:val="5F6B76"/>
        <w:sz w:val="17"/>
      </w:rPr>
      <w:t>MOVIELENS CONTENT STRATEGY  |  WEEK 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/>
      <w:color w:val="1F1F1F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1F1F1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40"/>
      <w:outlineLvl w:val="1"/>
    </w:pPr>
    <w:rPr>
      <w:rFonts w:asciiTheme="majorHAnsi" w:eastAsiaTheme="majorEastAsia" w:hAnsiTheme="majorHAnsi" w:cstheme="majorBidi" w:ascii="Arial" w:hAnsi="Arial"/>
      <w:b/>
      <w:bCs/>
      <w:color w:val="1F1F1F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40"/>
      <w:outlineLvl w:val="2"/>
    </w:pPr>
    <w:rPr>
      <w:rFonts w:asciiTheme="majorHAnsi" w:eastAsiaTheme="majorEastAsia" w:hAnsiTheme="majorHAnsi" w:cstheme="majorBidi" w:ascii="Arial" w:hAnsi="Arial"/>
      <w:b/>
      <w:bCs/>
      <w:color w:val="1F1F1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  <w:jc w:val="center"/>
    </w:pPr>
    <w:rPr>
      <w:rFonts w:asciiTheme="majorHAnsi" w:eastAsiaTheme="majorEastAsia" w:hAnsiTheme="majorHAnsi" w:cstheme="majorBidi" w:ascii="Arial" w:hAnsi="Arial"/>
      <w:b/>
      <w:color w:val="1F1F1F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4 Final Dashboard Decisions Slide Content</dc:title>
  <dc:subject>MovieLens 10M weekly presentation content</dc:subject>
  <dc:creator>MovieLens Content Strategy Project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