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p>
    <w:p>
      <w:pPr>
        <w:jc w:val="center"/>
        <w:rPr>
          <w:rFonts w:eastAsia="楷体_GB2312"/>
          <w:sz w:val="44"/>
        </w:rPr>
      </w:pPr>
      <w:r>
        <w:rPr>
          <w:rFonts w:hint="eastAsia" w:eastAsia="楷体_GB2312"/>
          <w:sz w:val="44"/>
        </w:rPr>
        <w:drawing>
          <wp:inline distT="0" distB="0" distL="0" distR="0">
            <wp:extent cx="2682240" cy="1010920"/>
            <wp:effectExtent l="0" t="0" r="0" b="0"/>
            <wp:docPr id="1" name="图片 1" descr="D:\我的资料库\Pictures\透明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我的资料库\Pictures\透明校徽.pn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2240" cy="1010920"/>
                    </a:xfrm>
                    <a:prstGeom prst="rect">
                      <a:avLst/>
                    </a:prstGeom>
                    <a:noFill/>
                    <a:ln>
                      <a:noFill/>
                    </a:ln>
                  </pic:spPr>
                </pic:pic>
              </a:graphicData>
            </a:graphic>
          </wp:inline>
        </w:drawing>
      </w:r>
    </w:p>
    <w:p>
      <w:pPr>
        <w:rPr>
          <w:rFonts w:eastAsia="楷体_GB2312"/>
          <w:sz w:val="44"/>
        </w:rPr>
      </w:pPr>
    </w:p>
    <w:p>
      <w:pPr>
        <w:rPr>
          <w:rFonts w:eastAsia="楷体_GB2312"/>
          <w:sz w:val="44"/>
        </w:rPr>
      </w:pPr>
    </w:p>
    <w:p/>
    <w:p/>
    <w:p>
      <w:pPr>
        <w:jc w:val="center"/>
        <w:rPr>
          <w:rFonts w:eastAsia="黑体"/>
          <w:sz w:val="44"/>
          <w:szCs w:val="44"/>
        </w:rPr>
      </w:pPr>
      <w:r>
        <w:rPr>
          <w:rFonts w:hint="eastAsia" w:eastAsia="黑体"/>
          <w:sz w:val="44"/>
          <w:szCs w:val="44"/>
        </w:rPr>
        <w:t>本科毕业设计（论文）开题报告表</w:t>
      </w:r>
    </w:p>
    <w:p/>
    <w:p/>
    <w:p/>
    <w:p/>
    <w:p/>
    <w:p/>
    <w:p/>
    <w:p/>
    <w:p/>
    <w:p/>
    <w:tbl>
      <w:tblPr>
        <w:tblStyle w:val="5"/>
        <w:tblpPr w:leftFromText="180" w:rightFromText="180" w:vertAnchor="text" w:horzAnchor="margin" w:tblpXSpec="center" w:tblpY="97"/>
        <w:tblOverlap w:val="never"/>
        <w:tblW w:w="7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5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413" w:type="dxa"/>
            <w:tcBorders>
              <w:top w:val="nil"/>
              <w:left w:val="nil"/>
              <w:bottom w:val="nil"/>
              <w:right w:val="nil"/>
            </w:tcBorders>
            <w:vAlign w:val="bottom"/>
          </w:tcPr>
          <w:p>
            <w:pPr>
              <w:adjustRightInd w:val="0"/>
              <w:snapToGrid w:val="0"/>
              <w:spacing w:after="0" w:line="560" w:lineRule="exact"/>
              <w:jc w:val="right"/>
              <w:rPr>
                <w:rFonts w:ascii="宋体" w:hAnsi="宋体"/>
                <w:b/>
                <w:bCs/>
                <w:sz w:val="36"/>
                <w:szCs w:val="36"/>
              </w:rPr>
            </w:pPr>
            <w:r>
              <w:rPr>
                <w:rFonts w:hint="eastAsia"/>
                <w:b/>
                <w:bCs/>
                <w:sz w:val="28"/>
              </w:rPr>
              <w:t>课题题目</w:t>
            </w:r>
          </w:p>
        </w:tc>
        <w:tc>
          <w:tcPr>
            <w:tcW w:w="5956" w:type="dxa"/>
            <w:tcBorders>
              <w:top w:val="nil"/>
              <w:left w:val="nil"/>
              <w:bottom w:val="single" w:color="auto" w:sz="4" w:space="0"/>
              <w:right w:val="nil"/>
            </w:tcBorders>
            <w:vAlign w:val="bottom"/>
          </w:tcPr>
          <w:p>
            <w:pPr>
              <w:adjustRightInd w:val="0"/>
              <w:snapToGrid w:val="0"/>
              <w:spacing w:after="0" w:line="300" w:lineRule="auto"/>
              <w:jc w:val="center"/>
              <w:rPr>
                <w:rFonts w:ascii="宋体" w:hAnsi="宋体" w:cs="宋体"/>
                <w:b/>
                <w:bCs/>
                <w:sz w:val="28"/>
              </w:rPr>
            </w:pPr>
            <w:r>
              <w:rPr>
                <w:rFonts w:hint="eastAsia" w:ascii="宋体" w:hAnsi="宋体" w:cs="宋体"/>
                <w:b/>
                <w:bCs/>
                <w:sz w:val="24"/>
                <w:szCs w:val="22"/>
              </w:rPr>
              <w:t>基于Vue3+NodeJS的苗木交易平台的设计与实现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413" w:type="dxa"/>
            <w:tcBorders>
              <w:top w:val="nil"/>
              <w:left w:val="nil"/>
              <w:bottom w:val="nil"/>
              <w:right w:val="nil"/>
            </w:tcBorders>
            <w:vAlign w:val="bottom"/>
          </w:tcPr>
          <w:p>
            <w:pPr>
              <w:adjustRightInd w:val="0"/>
              <w:snapToGrid w:val="0"/>
              <w:spacing w:after="0" w:line="560" w:lineRule="exact"/>
              <w:jc w:val="right"/>
              <w:rPr>
                <w:rFonts w:ascii="仿宋_GB2312" w:eastAsia="仿宋_GB2312"/>
                <w:sz w:val="28"/>
              </w:rPr>
            </w:pPr>
            <w:r>
              <w:rPr>
                <w:rFonts w:hint="eastAsia"/>
                <w:b/>
                <w:bCs/>
                <w:sz w:val="28"/>
              </w:rPr>
              <w:t>学生姓名</w:t>
            </w:r>
          </w:p>
        </w:tc>
        <w:tc>
          <w:tcPr>
            <w:tcW w:w="5956" w:type="dxa"/>
            <w:tcBorders>
              <w:top w:val="single" w:color="auto" w:sz="4" w:space="0"/>
              <w:left w:val="nil"/>
              <w:bottom w:val="single" w:color="auto" w:sz="4" w:space="0"/>
              <w:right w:val="nil"/>
            </w:tcBorders>
            <w:vAlign w:val="bottom"/>
          </w:tcPr>
          <w:p>
            <w:pPr>
              <w:adjustRightInd w:val="0"/>
              <w:snapToGrid w:val="0"/>
              <w:spacing w:after="0" w:line="300" w:lineRule="auto"/>
              <w:jc w:val="center"/>
              <w:rPr>
                <w:rFonts w:ascii="宋体" w:hAnsi="宋体" w:cs="宋体"/>
                <w:b/>
                <w:bCs/>
                <w:sz w:val="28"/>
              </w:rPr>
            </w:pPr>
            <w:r>
              <w:rPr>
                <w:rFonts w:hint="eastAsia" w:ascii="宋体" w:hAnsi="宋体" w:cs="宋体"/>
                <w:b/>
                <w:bCs/>
                <w:sz w:val="28"/>
              </w:rPr>
              <w:t>李鑫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413" w:type="dxa"/>
            <w:tcBorders>
              <w:top w:val="nil"/>
              <w:left w:val="nil"/>
              <w:bottom w:val="nil"/>
              <w:right w:val="nil"/>
            </w:tcBorders>
            <w:vAlign w:val="bottom"/>
          </w:tcPr>
          <w:p>
            <w:pPr>
              <w:adjustRightInd w:val="0"/>
              <w:snapToGrid w:val="0"/>
              <w:spacing w:after="0" w:line="560" w:lineRule="exact"/>
              <w:jc w:val="right"/>
              <w:rPr>
                <w:rFonts w:hint="eastAsia" w:ascii="仿宋_GB2312" w:eastAsia="宋体"/>
                <w:sz w:val="28"/>
                <w:lang w:eastAsia="zh-CN"/>
              </w:rPr>
            </w:pPr>
            <w:r>
              <w:rPr>
                <w:rFonts w:hint="eastAsia"/>
                <w:b/>
                <w:bCs/>
                <w:sz w:val="28"/>
              </w:rPr>
              <w:t>所学专业</w:t>
            </w:r>
          </w:p>
        </w:tc>
        <w:tc>
          <w:tcPr>
            <w:tcW w:w="5956" w:type="dxa"/>
            <w:tcBorders>
              <w:top w:val="single" w:color="auto" w:sz="4" w:space="0"/>
              <w:left w:val="nil"/>
              <w:bottom w:val="single" w:color="auto" w:sz="4" w:space="0"/>
              <w:right w:val="nil"/>
            </w:tcBorders>
            <w:vAlign w:val="bottom"/>
          </w:tcPr>
          <w:p>
            <w:pPr>
              <w:adjustRightInd w:val="0"/>
              <w:snapToGrid w:val="0"/>
              <w:spacing w:after="0" w:line="300" w:lineRule="auto"/>
              <w:jc w:val="center"/>
              <w:rPr>
                <w:rFonts w:ascii="宋体" w:hAnsi="宋体" w:cs="宋体"/>
                <w:b/>
                <w:bCs/>
                <w:sz w:val="28"/>
              </w:rPr>
            </w:pPr>
            <w:r>
              <w:rPr>
                <w:rFonts w:hint="eastAsia" w:ascii="宋体" w:hAnsi="宋体" w:cs="宋体"/>
                <w:b/>
                <w:bCs/>
                <w:sz w:val="28"/>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413" w:type="dxa"/>
            <w:tcBorders>
              <w:top w:val="nil"/>
              <w:left w:val="nil"/>
              <w:bottom w:val="nil"/>
              <w:right w:val="nil"/>
            </w:tcBorders>
            <w:vAlign w:val="bottom"/>
          </w:tcPr>
          <w:p>
            <w:pPr>
              <w:adjustRightInd w:val="0"/>
              <w:snapToGrid w:val="0"/>
              <w:spacing w:after="0" w:line="560" w:lineRule="exact"/>
              <w:jc w:val="right"/>
              <w:rPr>
                <w:rFonts w:ascii="仿宋_GB2312" w:eastAsia="仿宋_GB2312"/>
                <w:sz w:val="28"/>
              </w:rPr>
            </w:pPr>
            <w:r>
              <w:rPr>
                <w:rFonts w:hint="eastAsia"/>
                <w:b/>
                <w:bCs/>
                <w:sz w:val="28"/>
              </w:rPr>
              <w:t>导师姓名</w:t>
            </w:r>
          </w:p>
        </w:tc>
        <w:tc>
          <w:tcPr>
            <w:tcW w:w="5956" w:type="dxa"/>
            <w:tcBorders>
              <w:top w:val="single" w:color="auto" w:sz="4" w:space="0"/>
              <w:left w:val="nil"/>
              <w:bottom w:val="single" w:color="auto" w:sz="4" w:space="0"/>
              <w:right w:val="nil"/>
            </w:tcBorders>
            <w:vAlign w:val="bottom"/>
          </w:tcPr>
          <w:p>
            <w:pPr>
              <w:adjustRightInd w:val="0"/>
              <w:snapToGrid w:val="0"/>
              <w:spacing w:after="0" w:line="300" w:lineRule="auto"/>
              <w:jc w:val="center"/>
              <w:rPr>
                <w:rFonts w:hint="eastAsia" w:ascii="宋体" w:hAnsi="宋体" w:eastAsia="宋体" w:cs="宋体"/>
                <w:b/>
                <w:bCs/>
                <w:sz w:val="28"/>
                <w:lang w:eastAsia="zh-CN"/>
              </w:rPr>
            </w:pPr>
            <w:r>
              <w:rPr>
                <w:rFonts w:hint="eastAsia" w:ascii="宋体" w:hAnsi="宋体" w:cs="宋体"/>
                <w:b/>
                <w:bCs/>
                <w:sz w:val="28"/>
              </w:rPr>
              <w:t>张燕玲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13" w:type="dxa"/>
            <w:tcBorders>
              <w:top w:val="nil"/>
              <w:left w:val="nil"/>
              <w:bottom w:val="nil"/>
              <w:right w:val="nil"/>
            </w:tcBorders>
            <w:vAlign w:val="bottom"/>
          </w:tcPr>
          <w:p>
            <w:pPr>
              <w:adjustRightInd w:val="0"/>
              <w:snapToGrid w:val="0"/>
              <w:spacing w:after="0" w:line="560" w:lineRule="exact"/>
              <w:jc w:val="right"/>
              <w:rPr>
                <w:b/>
                <w:bCs/>
                <w:sz w:val="28"/>
              </w:rPr>
            </w:pPr>
            <w:r>
              <w:rPr>
                <w:rFonts w:hint="eastAsia"/>
                <w:b/>
                <w:bCs/>
                <w:sz w:val="28"/>
              </w:rPr>
              <w:t>报告日期</w:t>
            </w:r>
          </w:p>
        </w:tc>
        <w:tc>
          <w:tcPr>
            <w:tcW w:w="5956" w:type="dxa"/>
            <w:tcBorders>
              <w:top w:val="single" w:color="auto" w:sz="4" w:space="0"/>
              <w:left w:val="nil"/>
              <w:bottom w:val="single" w:color="auto" w:sz="4" w:space="0"/>
              <w:right w:val="nil"/>
            </w:tcBorders>
            <w:vAlign w:val="bottom"/>
          </w:tcPr>
          <w:p>
            <w:pPr>
              <w:adjustRightInd w:val="0"/>
              <w:snapToGrid w:val="0"/>
              <w:spacing w:after="0" w:line="300" w:lineRule="auto"/>
              <w:jc w:val="center"/>
              <w:rPr>
                <w:rFonts w:ascii="宋体" w:hAnsi="宋体" w:cs="宋体"/>
                <w:sz w:val="28"/>
              </w:rPr>
            </w:pPr>
            <w:r>
              <w:rPr>
                <w:rFonts w:hint="eastAsia" w:ascii="宋体" w:hAnsi="宋体" w:cs="宋体"/>
                <w:b/>
                <w:bCs/>
                <w:sz w:val="28"/>
              </w:rPr>
              <w:t>2023年1月</w:t>
            </w:r>
            <w:r>
              <w:rPr>
                <w:rFonts w:hint="eastAsia" w:ascii="宋体" w:hAnsi="宋体" w:cs="宋体"/>
                <w:b/>
                <w:bCs/>
                <w:sz w:val="28"/>
                <w:lang w:val="en-US" w:eastAsia="zh-CN"/>
              </w:rPr>
              <w:t>6</w:t>
            </w:r>
            <w:r>
              <w:rPr>
                <w:rFonts w:hint="eastAsia" w:ascii="宋体" w:hAnsi="宋体" w:cs="宋体"/>
                <w:b/>
                <w:bCs/>
                <w:sz w:val="28"/>
              </w:rPr>
              <w:t>日</w:t>
            </w:r>
          </w:p>
        </w:tc>
      </w:tr>
    </w:tbl>
    <w:p/>
    <w:p/>
    <w:p/>
    <w:p/>
    <w:p/>
    <w:p/>
    <w:p>
      <w:pPr>
        <w:rPr>
          <w:b/>
          <w:bCs/>
          <w:sz w:val="28"/>
        </w:rPr>
      </w:pPr>
    </w:p>
    <w:p>
      <w:pPr>
        <w:jc w:val="center"/>
        <w:rPr>
          <w:b/>
          <w:bCs/>
          <w:sz w:val="28"/>
        </w:rPr>
      </w:pPr>
      <w:r>
        <w:rPr>
          <w:rFonts w:hint="eastAsia"/>
          <w:b/>
          <w:bCs/>
          <w:sz w:val="28"/>
        </w:rPr>
        <w:t>教务处制</w:t>
      </w:r>
    </w:p>
    <w:p>
      <w:pPr>
        <w:widowControl/>
        <w:jc w:val="left"/>
        <w:rPr>
          <w:b/>
          <w:bCs/>
          <w:sz w:val="28"/>
        </w:rPr>
      </w:pPr>
      <w:r>
        <w:rPr>
          <w:b/>
          <w:bCs/>
          <w:sz w:val="28"/>
        </w:rPr>
        <w:br w:type="page"/>
      </w:r>
    </w:p>
    <w:p>
      <w:pPr>
        <w:jc w:val="center"/>
        <w:rPr>
          <w:b/>
          <w:bCs/>
          <w:sz w:val="28"/>
        </w:rPr>
        <w:sectPr>
          <w:pgSz w:w="11906" w:h="16838"/>
          <w:pgMar w:top="1440" w:right="1800" w:bottom="1440" w:left="1800" w:header="851" w:footer="992" w:gutter="0"/>
          <w:cols w:space="720" w:num="1"/>
          <w:docGrid w:linePitch="312" w:charSpace="0"/>
        </w:sectPr>
      </w:pPr>
    </w:p>
    <w:p/>
    <w:p>
      <w:pPr>
        <w:jc w:val="center"/>
        <w:rPr>
          <w:rFonts w:eastAsia="黑体"/>
          <w:sz w:val="32"/>
          <w:szCs w:val="32"/>
        </w:rPr>
      </w:pPr>
      <w:r>
        <w:rPr>
          <w:rFonts w:hint="eastAsia" w:eastAsia="黑体"/>
          <w:sz w:val="32"/>
          <w:szCs w:val="32"/>
        </w:rPr>
        <w:t>关于本科毕业设计（论文）开题报告的规定</w:t>
      </w:r>
    </w:p>
    <w:p/>
    <w:p/>
    <w:p>
      <w:pPr>
        <w:spacing w:after="0" w:line="360" w:lineRule="auto"/>
        <w:ind w:firstLine="437"/>
        <w:rPr>
          <w:rFonts w:ascii="仿宋_GB2312"/>
          <w:sz w:val="24"/>
        </w:rPr>
      </w:pPr>
      <w:r>
        <w:rPr>
          <w:rFonts w:hint="eastAsia" w:ascii="仿宋_GB2312"/>
          <w:sz w:val="24"/>
        </w:rPr>
        <w:t>为切实做好本科毕业设计（论文）的开题报告工作，保证论文质量，特作如下规定：</w:t>
      </w:r>
    </w:p>
    <w:p>
      <w:pPr>
        <w:spacing w:after="0" w:line="360" w:lineRule="auto"/>
        <w:ind w:firstLine="437"/>
        <w:rPr>
          <w:rFonts w:ascii="仿宋_GB2312"/>
          <w:sz w:val="24"/>
        </w:rPr>
      </w:pPr>
      <w:r>
        <w:rPr>
          <w:rFonts w:hint="eastAsia" w:ascii="仿宋_GB2312"/>
          <w:sz w:val="24"/>
        </w:rPr>
        <w:t>一、开题报告是本科毕业设计（论文）的必经过程，所有本科生在写作毕业设计（论文）之前都必须作开题报告。</w:t>
      </w:r>
    </w:p>
    <w:p>
      <w:pPr>
        <w:spacing w:after="0" w:line="360" w:lineRule="auto"/>
        <w:ind w:firstLine="437"/>
        <w:rPr>
          <w:rFonts w:ascii="仿宋_GB2312"/>
          <w:sz w:val="24"/>
        </w:rPr>
      </w:pPr>
      <w:r>
        <w:rPr>
          <w:rFonts w:hint="eastAsia" w:ascii="仿宋_GB2312"/>
          <w:sz w:val="24"/>
        </w:rPr>
        <w:t>二、开题报告主要检验学生对专业知识的驾驭能力和研究能力，考察写作论文的准备工作是否深入细致，包括选题是否恰当，资料占有是否翔实、全面，对国内外的研究状况是否了解，本人的研究是否具有创新性等。</w:t>
      </w:r>
    </w:p>
    <w:p>
      <w:pPr>
        <w:spacing w:after="0" w:line="360" w:lineRule="auto"/>
        <w:ind w:firstLine="437"/>
        <w:rPr>
          <w:rFonts w:ascii="仿宋_GB2312"/>
          <w:sz w:val="24"/>
        </w:rPr>
      </w:pPr>
      <w:r>
        <w:rPr>
          <w:rFonts w:hint="eastAsia" w:ascii="仿宋_GB2312"/>
          <w:sz w:val="24"/>
        </w:rPr>
        <w:t>三、毕业设计（论文）开题报告前，学生必须根据所学专业培养目标，与教师双向选择后确定选题，在指导教师的指导下，广泛查阅文献，深入调查研究，收集资料，制定研究方案，在此基础上撰写开题报告。</w:t>
      </w:r>
    </w:p>
    <w:p>
      <w:pPr>
        <w:spacing w:after="0" w:line="360" w:lineRule="auto"/>
        <w:ind w:firstLine="437"/>
        <w:rPr>
          <w:rFonts w:ascii="仿宋_GB2312"/>
          <w:sz w:val="24"/>
        </w:rPr>
      </w:pPr>
      <w:r>
        <w:rPr>
          <w:rFonts w:hint="eastAsia" w:ascii="仿宋_GB2312"/>
          <w:sz w:val="24"/>
        </w:rPr>
        <w:t>四、学生设计（论文）开题前需认真填写开题报告表，并向导师提出申请，由毕业设计（论文）指导小组负责开题报告的评议。</w:t>
      </w:r>
    </w:p>
    <w:p>
      <w:pPr>
        <w:spacing w:after="0" w:line="360" w:lineRule="auto"/>
        <w:ind w:firstLine="437"/>
        <w:rPr>
          <w:rFonts w:ascii="仿宋_GB2312"/>
          <w:sz w:val="24"/>
        </w:rPr>
      </w:pPr>
      <w:r>
        <w:rPr>
          <w:rFonts w:hint="eastAsia" w:ascii="仿宋_GB231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格”两种，学生开题报告评议结果须为“合格”方可开始论文写作。毕业设计（论文）指导小组不得少于3人</w:t>
      </w:r>
    </w:p>
    <w:p>
      <w:pPr>
        <w:spacing w:after="0" w:line="360" w:lineRule="auto"/>
        <w:ind w:firstLine="437"/>
        <w:rPr>
          <w:rFonts w:ascii="仿宋_GB2312"/>
          <w:sz w:val="24"/>
        </w:rPr>
      </w:pPr>
      <w:r>
        <w:rPr>
          <w:rFonts w:hint="eastAsia" w:ascii="仿宋_GB2312"/>
          <w:sz w:val="24"/>
        </w:rPr>
        <w:t>六、开题报告表应送交所在学院保存。</w:t>
      </w:r>
    </w:p>
    <w:p>
      <w:pPr>
        <w:spacing w:after="0" w:line="360" w:lineRule="auto"/>
        <w:ind w:firstLine="437"/>
        <w:rPr>
          <w:rFonts w:ascii="仿宋_GB2312"/>
          <w:sz w:val="24"/>
        </w:rPr>
      </w:pPr>
      <w:r>
        <w:rPr>
          <w:rFonts w:hint="eastAsia" w:ascii="仿宋_GB2312"/>
          <w:sz w:val="24"/>
        </w:rPr>
        <w:t>七、表中各项可自行加页。</w:t>
      </w:r>
    </w:p>
    <w:p>
      <w:pPr>
        <w:widowControl/>
        <w:jc w:val="left"/>
        <w:rPr>
          <w:rFonts w:ascii="仿宋_GB2312"/>
          <w:sz w:val="24"/>
        </w:rPr>
      </w:pPr>
      <w:r>
        <w:rPr>
          <w:rFonts w:ascii="仿宋_GB2312"/>
          <w:sz w:val="24"/>
        </w:rPr>
        <w:br w:type="page"/>
      </w:r>
    </w:p>
    <w:p>
      <w:pPr>
        <w:widowControl/>
        <w:jc w:val="left"/>
        <w:rPr>
          <w:rFonts w:ascii="仿宋_GB2312"/>
          <w:sz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126"/>
        <w:gridCol w:w="2835"/>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4" w:type="dxa"/>
          </w:tcPr>
          <w:p>
            <w:pPr>
              <w:spacing w:after="0" w:line="360" w:lineRule="auto"/>
              <w:jc w:val="center"/>
              <w:rPr>
                <w:rFonts w:ascii="仿宋_GB2312"/>
                <w:sz w:val="24"/>
              </w:rPr>
            </w:pPr>
            <w:bookmarkStart w:id="0" w:name="T_AnswersPerson1_Merge_1_0"/>
            <w:bookmarkEnd w:id="0"/>
            <w:r>
              <w:rPr>
                <w:rFonts w:hint="eastAsia" w:ascii="宋体" w:hAnsi="宋体"/>
              </w:rPr>
              <w:t>题目</w:t>
            </w:r>
          </w:p>
        </w:tc>
        <w:tc>
          <w:tcPr>
            <w:tcW w:w="7592" w:type="dxa"/>
            <w:gridSpan w:val="3"/>
          </w:tcPr>
          <w:p>
            <w:pPr>
              <w:spacing w:after="0" w:line="360" w:lineRule="auto"/>
              <w:jc w:val="center"/>
              <w:rPr>
                <w:rFonts w:ascii="仿宋_GB2312"/>
                <w:sz w:val="24"/>
              </w:rPr>
            </w:pPr>
            <w:r>
              <w:rPr>
                <w:rFonts w:hint="eastAsia" w:ascii="宋体" w:hAnsi="宋体"/>
              </w:rPr>
              <w:t>基于Vue3+NodeJS的苗木交易平台的设计与实现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after="0" w:line="300" w:lineRule="exact"/>
              <w:jc w:val="center"/>
              <w:rPr>
                <w:rFonts w:ascii="宋体" w:hAnsi="宋体"/>
              </w:rPr>
            </w:pPr>
            <w:r>
              <w:rPr>
                <w:rFonts w:hint="eastAsia" w:ascii="宋体" w:hAnsi="宋体"/>
              </w:rPr>
              <w:t>指</w:t>
            </w:r>
          </w:p>
          <w:p>
            <w:pPr>
              <w:spacing w:after="0" w:line="300" w:lineRule="exact"/>
              <w:jc w:val="center"/>
              <w:rPr>
                <w:rFonts w:ascii="宋体" w:hAnsi="宋体"/>
              </w:rPr>
            </w:pPr>
            <w:r>
              <w:rPr>
                <w:rFonts w:hint="eastAsia" w:ascii="宋体" w:hAnsi="宋体"/>
              </w:rPr>
              <w:t>导</w:t>
            </w:r>
          </w:p>
          <w:p>
            <w:pPr>
              <w:spacing w:after="0" w:line="300" w:lineRule="exact"/>
              <w:jc w:val="center"/>
              <w:rPr>
                <w:rFonts w:ascii="宋体" w:hAnsi="宋体"/>
              </w:rPr>
            </w:pPr>
            <w:r>
              <w:rPr>
                <w:rFonts w:hint="eastAsia" w:ascii="宋体" w:hAnsi="宋体"/>
              </w:rPr>
              <w:t>小</w:t>
            </w:r>
          </w:p>
          <w:p>
            <w:pPr>
              <w:spacing w:after="0" w:line="300" w:lineRule="exact"/>
              <w:jc w:val="center"/>
              <w:rPr>
                <w:rFonts w:ascii="宋体" w:hAnsi="宋体"/>
              </w:rPr>
            </w:pPr>
            <w:r>
              <w:rPr>
                <w:rFonts w:hint="eastAsia" w:ascii="宋体" w:hAnsi="宋体"/>
              </w:rPr>
              <w:t>组</w:t>
            </w:r>
          </w:p>
          <w:p>
            <w:pPr>
              <w:spacing w:after="0" w:line="300" w:lineRule="exact"/>
              <w:jc w:val="center"/>
              <w:rPr>
                <w:rFonts w:ascii="宋体" w:hAnsi="宋体"/>
              </w:rPr>
            </w:pPr>
            <w:r>
              <w:rPr>
                <w:rFonts w:hint="eastAsia" w:ascii="宋体" w:hAnsi="宋体"/>
              </w:rPr>
              <w:t>成</w:t>
            </w:r>
          </w:p>
          <w:p>
            <w:pPr>
              <w:spacing w:after="0" w:line="360" w:lineRule="auto"/>
              <w:jc w:val="center"/>
              <w:rPr>
                <w:rFonts w:ascii="仿宋_GB2312"/>
                <w:sz w:val="24"/>
              </w:rPr>
            </w:pPr>
            <w:r>
              <w:rPr>
                <w:rFonts w:hint="eastAsia" w:ascii="宋体" w:hAnsi="宋体"/>
              </w:rPr>
              <w:t>员</w:t>
            </w:r>
          </w:p>
        </w:tc>
        <w:tc>
          <w:tcPr>
            <w:tcW w:w="2126" w:type="dxa"/>
            <w:vAlign w:val="center"/>
          </w:tcPr>
          <w:p>
            <w:pPr>
              <w:spacing w:after="0" w:line="360" w:lineRule="auto"/>
              <w:jc w:val="center"/>
              <w:rPr>
                <w:rFonts w:ascii="仿宋_GB2312"/>
                <w:sz w:val="24"/>
              </w:rPr>
            </w:pPr>
            <w:r>
              <w:rPr>
                <w:rFonts w:hint="eastAsia" w:ascii="宋体" w:hAnsi="宋体"/>
              </w:rPr>
              <w:t>姓名</w:t>
            </w:r>
          </w:p>
        </w:tc>
        <w:tc>
          <w:tcPr>
            <w:tcW w:w="2835" w:type="dxa"/>
            <w:vAlign w:val="center"/>
          </w:tcPr>
          <w:p>
            <w:pPr>
              <w:spacing w:after="0" w:line="360" w:lineRule="auto"/>
              <w:jc w:val="center"/>
              <w:rPr>
                <w:rFonts w:ascii="仿宋_GB2312"/>
                <w:sz w:val="24"/>
              </w:rPr>
            </w:pPr>
            <w:r>
              <w:rPr>
                <w:rFonts w:hint="eastAsia" w:ascii="宋体" w:hAnsi="宋体"/>
              </w:rPr>
              <w:t>专业技术职务或职称</w:t>
            </w:r>
          </w:p>
        </w:tc>
        <w:tc>
          <w:tcPr>
            <w:tcW w:w="2631" w:type="dxa"/>
            <w:vAlign w:val="center"/>
          </w:tcPr>
          <w:p>
            <w:pPr>
              <w:spacing w:after="0" w:line="360" w:lineRule="auto"/>
              <w:jc w:val="center"/>
              <w:rPr>
                <w:rFonts w:ascii="仿宋_GB2312"/>
                <w:sz w:val="24"/>
              </w:rPr>
            </w:pPr>
            <w:r>
              <w:rPr>
                <w:rFonts w:hint="eastAsia" w:ascii="宋体" w:hAnsi="宋体"/>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Merge w:val="continue"/>
            <w:vAlign w:val="center"/>
          </w:tcPr>
          <w:p/>
        </w:tc>
        <w:tc>
          <w:tcPr>
            <w:vAlign w:val="center"/>
          </w:tcPr>
          <w:p>
            <w:pPr>
              <w:jc w:val="center"/>
              <w:rPr>
                <w:rFonts w:ascii="Times New Roman" w:hAnsi="Times New Roman" w:eastAsia="宋体" w:cs="Times New Roman"/>
                <w:kern w:val="2"/>
                <w:sz w:val="21"/>
                <w:szCs w:val="24"/>
                <w:lang w:val="en-US" w:eastAsia="zh-CN" w:bidi="ar-SA"/>
              </w:rPr>
            </w:pPr>
            <w:r>
              <w:t>杨传健</w:t>
            </w:r>
          </w:p>
        </w:tc>
        <w:tc>
          <w:tcPr>
            <w:vAlign w:val="center"/>
          </w:tcPr>
          <w:p>
            <w:pPr>
              <w:jc w:val="center"/>
              <w:rPr>
                <w:rFonts w:ascii="Times New Roman" w:hAnsi="Times New Roman" w:eastAsia="宋体" w:cs="Times New Roman"/>
                <w:kern w:val="2"/>
                <w:sz w:val="21"/>
                <w:szCs w:val="24"/>
                <w:lang w:val="en-US" w:eastAsia="zh-CN" w:bidi="ar-SA"/>
              </w:rPr>
            </w:pPr>
            <w:r>
              <w:t>副教授</w:t>
            </w:r>
          </w:p>
        </w:tc>
        <w:tc>
          <w:tcPr>
            <w:vAlign w:val="center"/>
          </w:tcPr>
          <w:p>
            <w:pPr>
              <w:jc w:val="center"/>
              <w:rPr>
                <w:rFonts w:ascii="Times New Roman" w:hAnsi="Times New Roman" w:eastAsia="宋体" w:cs="Times New Roman"/>
                <w:kern w:val="2"/>
                <w:sz w:val="21"/>
                <w:szCs w:val="24"/>
                <w:lang w:val="en-US" w:eastAsia="zh-CN" w:bidi="ar-SA"/>
              </w:rPr>
            </w:pPr>
            <w:r>
              <w:t>杨传健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Merge w:val="continue"/>
            <w:vAlign w:val="center"/>
          </w:tcPr>
          <w:p/>
        </w:tc>
        <w:tc>
          <w:tcPr>
            <w:vAlign w:val="center"/>
          </w:tcPr>
          <w:p>
            <w:pPr>
              <w:jc w:val="center"/>
              <w:rPr>
                <w:rFonts w:ascii="Times New Roman" w:hAnsi="Times New Roman" w:eastAsia="宋体" w:cs="Times New Roman"/>
                <w:kern w:val="2"/>
                <w:sz w:val="21"/>
                <w:szCs w:val="24"/>
                <w:lang w:val="en-US" w:eastAsia="zh-CN" w:bidi="ar-SA"/>
              </w:rPr>
            </w:pPr>
            <w:r>
              <w:t>温卫敏</w:t>
            </w:r>
          </w:p>
        </w:tc>
        <w:tc>
          <w:tcPr>
            <w:vAlign w:val="center"/>
          </w:tcPr>
          <w:p>
            <w:pPr>
              <w:jc w:val="center"/>
              <w:rPr>
                <w:rFonts w:ascii="Times New Roman" w:hAnsi="Times New Roman" w:eastAsia="宋体" w:cs="Times New Roman"/>
                <w:kern w:val="2"/>
                <w:sz w:val="21"/>
                <w:szCs w:val="24"/>
                <w:lang w:val="en-US" w:eastAsia="zh-CN" w:bidi="ar-SA"/>
              </w:rPr>
            </w:pPr>
            <w:r>
              <w:t>高级实验师</w:t>
            </w:r>
          </w:p>
        </w:tc>
        <w:tc>
          <w:tcPr>
            <w:vAlign w:val="center"/>
          </w:tcPr>
          <w:p>
            <w:pPr>
              <w:jc w:val="center"/>
              <w:rPr>
                <w:rFonts w:ascii="Times New Roman" w:hAnsi="Times New Roman" w:eastAsia="宋体" w:cs="Times New Roman"/>
                <w:kern w:val="2"/>
                <w:sz w:val="21"/>
                <w:szCs w:val="24"/>
                <w:lang w:val="en-US" w:eastAsia="zh-CN" w:bidi="ar-SA"/>
              </w:rPr>
            </w:pPr>
            <w:r>
              <w:t>温卫敏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Merge w:val="continue"/>
            <w:vAlign w:val="center"/>
          </w:tcPr>
          <w:p/>
        </w:tc>
        <w:tc>
          <w:tcPr>
            <w:vAlign w:val="center"/>
          </w:tcPr>
          <w:p>
            <w:pPr>
              <w:jc w:val="center"/>
              <w:rPr>
                <w:rFonts w:ascii="Times New Roman" w:hAnsi="Times New Roman" w:eastAsia="宋体" w:cs="Times New Roman"/>
                <w:kern w:val="2"/>
                <w:sz w:val="21"/>
                <w:szCs w:val="24"/>
                <w:lang w:val="en-US" w:eastAsia="zh-CN" w:bidi="ar-SA"/>
              </w:rPr>
            </w:pPr>
            <w:r>
              <w:t>邰其心</w:t>
            </w:r>
          </w:p>
        </w:tc>
        <w:tc>
          <w:tcPr>
            <w:vAlign w:val="center"/>
          </w:tcPr>
          <w:p>
            <w:pPr>
              <w:jc w:val="center"/>
              <w:rPr>
                <w:rFonts w:ascii="Times New Roman" w:hAnsi="Times New Roman" w:eastAsia="宋体" w:cs="Times New Roman"/>
                <w:kern w:val="2"/>
                <w:sz w:val="21"/>
                <w:szCs w:val="24"/>
                <w:lang w:val="en-US" w:eastAsia="zh-CN" w:bidi="ar-SA"/>
              </w:rPr>
            </w:pPr>
            <w:r>
              <w:t>助教</w:t>
            </w:r>
          </w:p>
        </w:tc>
        <w:tc>
          <w:tcPr>
            <w:vAlign w:val="center"/>
          </w:tcPr>
          <w:p>
            <w:pPr>
              <w:jc w:val="center"/>
              <w:rPr>
                <w:rFonts w:ascii="Times New Roman" w:hAnsi="Times New Roman" w:eastAsia="宋体" w:cs="Times New Roman"/>
                <w:kern w:val="2"/>
                <w:sz w:val="21"/>
                <w:szCs w:val="24"/>
                <w:lang w:val="en-US" w:eastAsia="zh-CN" w:bidi="ar-SA"/>
              </w:rPr>
            </w:pPr>
            <w:r>
              <w:t>邰其心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Merge w:val="continue"/>
            <w:vAlign w:val="center"/>
          </w:tcPr>
          <w:p/>
        </w:tc>
        <w:tc>
          <w:tcPr>
            <w:vAlign w:val="center"/>
          </w:tcPr>
          <w:p>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张燕玲</w:t>
            </w:r>
          </w:p>
        </w:tc>
        <w:tc>
          <w:tcPr>
            <w:vAlign w:val="center"/>
          </w:tcPr>
          <w:p>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讲师</w:t>
            </w:r>
          </w:p>
        </w:tc>
        <w:tc>
          <w:tcPr>
            <w:vAlign w:val="center"/>
          </w:tcPr>
          <w:p>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张燕玲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4" w:type="dxa"/>
            <w:vMerge w:val="continue"/>
          </w:tcPr>
          <w:p>
            <w:pPr>
              <w:spacing w:after="0" w:line="360" w:lineRule="auto"/>
              <w:rPr>
                <w:rFonts w:ascii="仿宋_GB2312"/>
                <w:sz w:val="24"/>
              </w:rPr>
            </w:pPr>
          </w:p>
        </w:tc>
        <w:tc>
          <w:tcPr>
            <w:tcW w:w="2126" w:type="dxa"/>
            <w:vAlign w:val="center"/>
          </w:tcPr>
          <w:p>
            <w:pPr>
              <w:jc w:val="center"/>
              <w:rPr>
                <w:rFonts w:ascii="Times New Roman" w:hAnsi="Times New Roman" w:eastAsia="宋体" w:cs="Times New Roman"/>
                <w:kern w:val="2"/>
                <w:sz w:val="21"/>
                <w:szCs w:val="24"/>
                <w:lang w:val="en-US" w:eastAsia="zh-CN" w:bidi="ar-SA"/>
              </w:rPr>
            </w:pPr>
          </w:p>
        </w:tc>
        <w:tc>
          <w:tcPr>
            <w:tcW w:w="2835" w:type="dxa"/>
            <w:vAlign w:val="center"/>
          </w:tcPr>
          <w:p>
            <w:pPr>
              <w:jc w:val="center"/>
              <w:rPr>
                <w:rFonts w:ascii="Times New Roman" w:hAnsi="Times New Roman" w:eastAsia="宋体" w:cs="Times New Roman"/>
                <w:kern w:val="2"/>
                <w:sz w:val="21"/>
                <w:szCs w:val="24"/>
                <w:lang w:val="en-US" w:eastAsia="zh-CN" w:bidi="ar-SA"/>
              </w:rPr>
            </w:pPr>
          </w:p>
        </w:tc>
        <w:tc>
          <w:tcPr>
            <w:tcW w:w="2631" w:type="dxa"/>
            <w:vAlign w:val="center"/>
          </w:tcPr>
          <w:p>
            <w:pPr>
              <w:jc w:val="center"/>
              <w:rPr>
                <w:rFonts w:ascii="Times New Roman" w:hAnsi="Times New Roman" w:eastAsia="宋体" w:cs="Times New Roman"/>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spacing w:after="0" w:line="360" w:lineRule="auto"/>
              <w:jc w:val="center"/>
              <w:rPr>
                <w:rFonts w:ascii="仿宋_GB2312"/>
                <w:sz w:val="24"/>
              </w:rPr>
            </w:pPr>
          </w:p>
        </w:tc>
        <w:tc>
          <w:tcPr>
            <w:tcW w:w="7592" w:type="dxa"/>
            <w:gridSpan w:val="3"/>
          </w:tcPr>
          <w:p>
            <w:pPr>
              <w:spacing w:after="0" w:line="420" w:lineRule="exact"/>
              <w:rPr>
                <w:rFonts w:ascii="宋体" w:hAnsi="宋体"/>
                <w:b/>
                <w:bCs/>
              </w:rPr>
            </w:pPr>
            <w:r>
              <w:rPr>
                <w:rFonts w:hint="eastAsia" w:ascii="宋体" w:hAnsi="宋体"/>
                <w:b/>
                <w:bCs/>
              </w:rPr>
              <w:t>一、研究现状</w:t>
            </w:r>
          </w:p>
          <w:p>
            <w:pPr>
              <w:spacing w:after="0" w:line="440" w:lineRule="exact"/>
              <w:ind w:firstLine="420" w:firstLineChars="20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随着Web前端开发行业的不断发展，各种新技术和新工具也层出不穷。在当前的大前端开发环境中，出现了Vue、React、Angular等JavaScript框架。其中，Vue专注于构建用户界面，采用单向数据流架构，在短时间内提供了复杂Web应用程序所需的简单性和强大功能之间的卓越平衡。该框架于2014年2月发布源代码，并在2016年以及2020年先后推出Vue2、Vue3，均在原有基础上进行了非常大的重构与性能提升。此外，随着JavaScript的发展，Node.js在服务端表现也极为出色。Vue和Node.js凭借其易用易学、易于调试、轻量级且性能极佳等优势，如今已经成为众多开发者的首选。</w:t>
            </w:r>
          </w:p>
          <w:p>
            <w:pPr>
              <w:spacing w:after="0" w:line="440" w:lineRule="exact"/>
              <w:ind w:firstLine="420" w:firstLineChars="20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随着时代的发展，各地对环境的要求越来越高，绿植需求也日益增加，苗木产业也因此逐渐兴起。目前，苗木来源主要分为两种：由大规模集中式苗圃提供和个人在乡镇中栽种的散落苗木。然而，这种途径通常需要寻找苗木工人挨家挨户地寻找，信息分散、交易不明确，存在很多的不稳定因素，导致传统苗木移栽产业的发展渐渐跟不上时代步伐。</w:t>
            </w:r>
            <w:r>
              <w:rPr>
                <w:rFonts w:hint="eastAsia" w:cs="Times New Roman"/>
                <w:bCs/>
                <w:kern w:val="0"/>
                <w:szCs w:val="21"/>
                <w:lang w:val="en-US" w:eastAsia="zh-CN"/>
              </w:rPr>
              <w:t>为</w:t>
            </w:r>
            <w:r>
              <w:rPr>
                <w:rFonts w:hint="eastAsia" w:ascii="Times New Roman" w:hAnsi="Times New Roman" w:eastAsia="宋体" w:cs="Times New Roman"/>
                <w:bCs/>
                <w:kern w:val="0"/>
                <w:szCs w:val="21"/>
                <w:lang w:val="en-US" w:eastAsia="zh-CN"/>
              </w:rPr>
              <w:t>此，设计</w:t>
            </w:r>
            <w:r>
              <w:rPr>
                <w:rFonts w:hint="eastAsia" w:cs="Times New Roman"/>
                <w:bCs/>
                <w:kern w:val="0"/>
                <w:szCs w:val="21"/>
                <w:lang w:val="en-US" w:eastAsia="zh-CN"/>
              </w:rPr>
              <w:t>与实现</w:t>
            </w:r>
            <w:r>
              <w:rPr>
                <w:rFonts w:hint="eastAsia" w:ascii="Times New Roman" w:hAnsi="Times New Roman" w:eastAsia="宋体" w:cs="Times New Roman"/>
                <w:bCs/>
                <w:kern w:val="0"/>
                <w:szCs w:val="21"/>
                <w:lang w:val="en-US" w:eastAsia="zh-CN"/>
              </w:rPr>
              <w:t>了一款专为从事苗木产业的相关人员量身打造的苗木交易平台软件，将分散各地的苗木聚合起来，买卖双方通过该系统发布和浏览苗木信息，并可相互交流详情。采用了与互联网结合的新形式，与时代技术相融合，推动苗木产业的发展。</w:t>
            </w:r>
          </w:p>
          <w:p>
            <w:pPr>
              <w:spacing w:after="0" w:line="440" w:lineRule="exact"/>
              <w:rPr>
                <w:rFonts w:ascii="宋体" w:hAnsi="宋体"/>
                <w:b/>
                <w:bCs/>
                <w:szCs w:val="21"/>
              </w:rPr>
            </w:pPr>
            <w:r>
              <w:rPr>
                <w:rFonts w:hint="eastAsia" w:ascii="宋体" w:hAnsi="宋体"/>
                <w:b/>
                <w:bCs/>
                <w:szCs w:val="21"/>
              </w:rPr>
              <w:t>二、选题意义</w:t>
            </w:r>
            <w:bookmarkStart w:id="2" w:name="_GoBack"/>
            <w:bookmarkEnd w:id="2"/>
          </w:p>
          <w:p>
            <w:pPr>
              <w:spacing w:after="0" w:line="420" w:lineRule="exact"/>
              <w:ind w:firstLine="420" w:firstLineChars="20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基于Vue3+Node</w:t>
            </w:r>
            <w:r>
              <w:rPr>
                <w:rFonts w:hint="eastAsia" w:cs="Times New Roman"/>
                <w:bCs/>
                <w:kern w:val="0"/>
                <w:szCs w:val="21"/>
                <w:lang w:val="en-US" w:eastAsia="zh-CN"/>
              </w:rPr>
              <w:t>JS</w:t>
            </w:r>
            <w:r>
              <w:rPr>
                <w:rFonts w:hint="eastAsia" w:ascii="Times New Roman" w:hAnsi="Times New Roman" w:eastAsia="宋体" w:cs="Times New Roman"/>
                <w:bCs/>
                <w:kern w:val="0"/>
                <w:szCs w:val="21"/>
                <w:lang w:val="en-US" w:eastAsia="zh-CN"/>
              </w:rPr>
              <w:t>的苗木交易平台的设计与实现，对于苗木产业来说具有重要的意义。当前，传统的苗木交易市场存在着信息不透明、交易效率低下等问题，而基于互联网技术的新型交易平台可以为苗木行业带来更多的商机和发展机会。同时，该项目所采用的技术架构也非常先进，并且得到了广泛应用，这将为开发者提供学习和实践的机会，增强他们的技能水平和竞争力。此外，通过参与这个项目的开发，个人也可以获得许多好处。首先，他们可以锻炼自己的团队协作和沟通能力，培养自己的解决问题和创新精神。其次，由于该项目所涉及的技术相对较新，因此需要开发者具备较高的技能和经验，参与其中可以提高个人的技能水平并增强自己的职业竞争力。最后，通过完成这个项目，个人还可以积累丰富的项目经验，为今后的职业发展打下坚实的基础。</w:t>
            </w:r>
          </w:p>
          <w:p>
            <w:pPr>
              <w:spacing w:after="0" w:line="420" w:lineRule="exact"/>
              <w:rPr>
                <w:rFonts w:ascii="宋体" w:hAnsi="宋体"/>
                <w:b/>
                <w:bCs/>
              </w:rPr>
            </w:pPr>
            <w:r>
              <w:rPr>
                <w:rFonts w:hint="eastAsia" w:ascii="宋体" w:hAnsi="宋体"/>
                <w:b/>
                <w:bCs/>
              </w:rPr>
              <w:t>三、研究方法</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（1）文献研究法。查阅并调研已有的文献，针对本系统所涉及到的相关内容和技术进行查阅资料，利用JavaScript语言进行框架和布局的设计、jwt登录认证技术以及用户交互的设计。</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2）原型法：指在获取一组基本的需求定义后，利用高级软件工具可视化的开发环境，快速地建立一个目标的最初版本，并把它交给用户试用、补充和修改，再进行新的版本开发。反复进行这个过程，直到得出系统的“精确解”，即用户满意为止。</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（3</w:t>
            </w:r>
            <w:r>
              <w:rPr>
                <w:rFonts w:hint="eastAsia" w:cs="Times New Roman"/>
                <w:bCs/>
                <w:kern w:val="0"/>
                <w:szCs w:val="21"/>
                <w:lang w:val="en-US" w:eastAsia="zh-CN"/>
              </w:rPr>
              <w:t>）</w:t>
            </w:r>
            <w:r>
              <w:rPr>
                <w:rFonts w:hint="eastAsia" w:ascii="Times New Roman" w:hAnsi="Times New Roman" w:eastAsia="宋体" w:cs="Times New Roman"/>
                <w:bCs/>
                <w:kern w:val="0"/>
                <w:szCs w:val="21"/>
                <w:lang w:val="en-US" w:eastAsia="zh-CN"/>
              </w:rPr>
              <w:t>实证研究法：科学实践研究的一种特殊形式。根据查阅资料所获得的理论知识和实践的需要，提出设计，利用实验器具，在自然条件下，透过有目的有步骤地操纵，根据观察、记录、测定与此相伴随的现象的变化来确定条件与现象之间的因果关系的活动。</w:t>
            </w:r>
          </w:p>
          <w:p>
            <w:pPr>
              <w:spacing w:after="0" w:line="420" w:lineRule="exact"/>
              <w:rPr>
                <w:rFonts w:ascii="宋体" w:hAnsi="宋体"/>
                <w:b/>
                <w:bCs/>
              </w:rPr>
            </w:pPr>
            <w:r>
              <w:rPr>
                <w:rFonts w:hint="eastAsia" w:ascii="宋体" w:hAnsi="宋体"/>
                <w:b/>
                <w:bCs/>
              </w:rPr>
              <w:t>四、研究内容</w:t>
            </w:r>
          </w:p>
          <w:p>
            <w:pPr>
              <w:spacing w:line="360" w:lineRule="exact"/>
              <w:ind w:firstLine="420" w:firstLineChars="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本文所提出的基于Vue3+NodeJS的苗木交易平台可实现以下功能：</w:t>
            </w:r>
          </w:p>
          <w:p>
            <w:pPr>
              <w:spacing w:line="360" w:lineRule="exact"/>
              <w:ind w:firstLine="420" w:firstLineChars="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种植苗木用户：注册登录，查看苗木市场，发布苗木，查看个人记录（个人交易、浏览记录、个人收藏、关注列表、粉丝列表）</w:t>
            </w:r>
            <w:r>
              <w:rPr>
                <w:rFonts w:hint="eastAsia" w:cs="Times New Roman"/>
                <w:bCs/>
                <w:kern w:val="0"/>
                <w:szCs w:val="21"/>
                <w:lang w:val="en-US" w:eastAsia="zh-CN"/>
              </w:rPr>
              <w:t>，</w:t>
            </w:r>
            <w:r>
              <w:rPr>
                <w:rFonts w:hint="eastAsia" w:ascii="Times New Roman" w:hAnsi="Times New Roman" w:eastAsia="宋体" w:cs="Times New Roman"/>
                <w:bCs/>
                <w:kern w:val="0"/>
                <w:szCs w:val="21"/>
                <w:lang w:val="en-US" w:eastAsia="zh-CN"/>
              </w:rPr>
              <w:t>实时联系买家进行沟通交流，个人中心（信息管理，订单管理，苗木管理）。</w:t>
            </w:r>
          </w:p>
          <w:p>
            <w:pPr>
              <w:spacing w:line="360" w:lineRule="exact"/>
              <w:ind w:firstLine="420" w:firstLineChars="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收购苗木用户：浏览苗木资源信息(苗木类型、时间、价格、地址)，发布收苗木帖子，购买苗木，订单支付，收藏苗木，关注用户，查看个人记录，个人订单管理，个人收苗木帖子管理，个人信息管理,实时联系卖家进行沟通交流。</w:t>
            </w:r>
          </w:p>
          <w:p>
            <w:pPr>
              <w:spacing w:line="360" w:lineRule="exact"/>
              <w:ind w:firstLine="420" w:firstLineChars="0"/>
              <w:rPr>
                <w:rFonts w:hint="default"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管理员：可以管理各类苗木信息、管理用户信息、审核管理苗木信息和查看并管理订单记录信息，个人信息管理以及统计分析。系统的</w:t>
            </w:r>
            <w:r>
              <w:rPr>
                <w:rFonts w:hint="eastAsia" w:cs="Times New Roman"/>
                <w:bCs/>
                <w:kern w:val="0"/>
                <w:szCs w:val="21"/>
                <w:lang w:val="en-US" w:eastAsia="zh-CN"/>
              </w:rPr>
              <w:t>前台</w:t>
            </w:r>
            <w:r>
              <w:rPr>
                <w:rFonts w:hint="eastAsia" w:ascii="Times New Roman" w:hAnsi="Times New Roman" w:eastAsia="宋体" w:cs="Times New Roman"/>
                <w:bCs/>
                <w:kern w:val="0"/>
                <w:szCs w:val="21"/>
                <w:lang w:val="en-US" w:eastAsia="zh-CN"/>
              </w:rPr>
              <w:t>功能模块如图4-1所示</w:t>
            </w:r>
            <w:r>
              <w:rPr>
                <w:rFonts w:hint="eastAsia" w:cs="Times New Roman"/>
                <w:bCs/>
                <w:kern w:val="0"/>
                <w:szCs w:val="21"/>
                <w:lang w:val="en-US" w:eastAsia="zh-CN"/>
              </w:rPr>
              <w:t>，系统后台功能模块图如图4-2所示。</w:t>
            </w:r>
          </w:p>
          <w:p>
            <w:pPr>
              <w:widowControl/>
              <w:spacing w:before="0" w:after="240"/>
              <w:jc w:val="center"/>
              <w:rPr>
                <w:rFonts w:ascii="宋体" w:hAnsi="宋体" w:cs="宋体"/>
                <w:kern w:val="0"/>
                <w:sz w:val="24"/>
              </w:rPr>
            </w:pPr>
            <w:r>
              <w:drawing>
                <wp:inline distT="0" distB="0" distL="114300" distR="114300">
                  <wp:extent cx="3230245" cy="2468245"/>
                  <wp:effectExtent l="0" t="0" r="825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230245" cy="2468245"/>
                          </a:xfrm>
                          <a:prstGeom prst="rect">
                            <a:avLst/>
                          </a:prstGeom>
                          <a:noFill/>
                          <a:ln>
                            <a:noFill/>
                          </a:ln>
                        </pic:spPr>
                      </pic:pic>
                    </a:graphicData>
                  </a:graphic>
                </wp:inline>
              </w:drawing>
            </w:r>
          </w:p>
          <w:p>
            <w:pPr>
              <w:spacing w:line="360" w:lineRule="exact"/>
              <w:ind w:firstLine="420" w:firstLineChars="0"/>
              <w:jc w:val="center"/>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图4-1系统</w:t>
            </w:r>
            <w:r>
              <w:rPr>
                <w:rFonts w:hint="eastAsia" w:cs="Times New Roman"/>
                <w:bCs/>
                <w:kern w:val="0"/>
                <w:szCs w:val="21"/>
                <w:lang w:val="en-US" w:eastAsia="zh-CN"/>
              </w:rPr>
              <w:t>前台</w:t>
            </w:r>
            <w:r>
              <w:rPr>
                <w:rFonts w:hint="eastAsia" w:ascii="Times New Roman" w:hAnsi="Times New Roman" w:eastAsia="宋体" w:cs="Times New Roman"/>
                <w:bCs/>
                <w:kern w:val="0"/>
                <w:szCs w:val="21"/>
                <w:lang w:val="en-US" w:eastAsia="zh-CN"/>
              </w:rPr>
              <w:t>功能图</w:t>
            </w:r>
          </w:p>
          <w:p>
            <w:pPr>
              <w:spacing w:line="360" w:lineRule="auto"/>
              <w:ind w:firstLine="420" w:firstLineChars="0"/>
              <w:jc w:val="center"/>
            </w:pPr>
            <w:r>
              <w:drawing>
                <wp:inline distT="0" distB="0" distL="114300" distR="114300">
                  <wp:extent cx="3066415" cy="2893060"/>
                  <wp:effectExtent l="0" t="0" r="635"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3066415" cy="2893060"/>
                          </a:xfrm>
                          <a:prstGeom prst="rect">
                            <a:avLst/>
                          </a:prstGeom>
                          <a:noFill/>
                          <a:ln>
                            <a:noFill/>
                          </a:ln>
                        </pic:spPr>
                      </pic:pic>
                    </a:graphicData>
                  </a:graphic>
                </wp:inline>
              </w:drawing>
            </w:r>
          </w:p>
          <w:p>
            <w:pPr>
              <w:spacing w:line="360" w:lineRule="auto"/>
              <w:ind w:firstLine="420" w:firstLineChars="0"/>
              <w:jc w:val="center"/>
              <w:rPr>
                <w:rFonts w:hint="eastAsia"/>
                <w:lang w:val="en-US" w:eastAsia="zh-CN"/>
              </w:rPr>
            </w:pPr>
            <w:r>
              <w:rPr>
                <w:rFonts w:hint="eastAsia" w:ascii="Times New Roman" w:hAnsi="Times New Roman" w:eastAsia="宋体" w:cs="Times New Roman"/>
                <w:bCs/>
                <w:kern w:val="0"/>
                <w:szCs w:val="21"/>
                <w:lang w:val="en-US" w:eastAsia="zh-CN"/>
              </w:rPr>
              <w:t>图4-</w:t>
            </w:r>
            <w:r>
              <w:rPr>
                <w:rFonts w:hint="eastAsia" w:cs="Times New Roman"/>
                <w:bCs/>
                <w:kern w:val="0"/>
                <w:szCs w:val="21"/>
                <w:lang w:val="en-US" w:eastAsia="zh-CN"/>
              </w:rPr>
              <w:t>2</w:t>
            </w:r>
            <w:r>
              <w:rPr>
                <w:rFonts w:hint="eastAsia" w:ascii="Times New Roman" w:hAnsi="Times New Roman" w:eastAsia="宋体" w:cs="Times New Roman"/>
                <w:bCs/>
                <w:kern w:val="0"/>
                <w:szCs w:val="21"/>
                <w:lang w:val="en-US" w:eastAsia="zh-CN"/>
              </w:rPr>
              <w:t>系统</w:t>
            </w:r>
            <w:r>
              <w:rPr>
                <w:rFonts w:hint="eastAsia" w:cs="Times New Roman"/>
                <w:bCs/>
                <w:kern w:val="0"/>
                <w:szCs w:val="21"/>
                <w:lang w:val="en-US" w:eastAsia="zh-CN"/>
              </w:rPr>
              <w:t>后台</w:t>
            </w:r>
            <w:r>
              <w:rPr>
                <w:rFonts w:hint="eastAsia" w:ascii="Times New Roman" w:hAnsi="Times New Roman" w:eastAsia="宋体" w:cs="Times New Roman"/>
                <w:bCs/>
                <w:kern w:val="0"/>
                <w:szCs w:val="21"/>
                <w:lang w:val="en-US" w:eastAsia="zh-CN"/>
              </w:rPr>
              <w:t>功能图</w:t>
            </w:r>
          </w:p>
          <w:p>
            <w:pPr>
              <w:spacing w:after="0" w:line="420" w:lineRule="exact"/>
              <w:rPr>
                <w:rFonts w:ascii="宋体" w:hAnsi="宋体"/>
                <w:b/>
                <w:bCs/>
              </w:rPr>
            </w:pPr>
            <w:r>
              <w:rPr>
                <w:rFonts w:hint="eastAsia" w:ascii="宋体" w:hAnsi="宋体"/>
                <w:b/>
                <w:bCs/>
              </w:rPr>
              <w:t>五、研究基本要求</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（1）了解web应用前景和开发流程。</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（2）收集基于Vue3+NodeJS的苗木交易平台的相关学习资料。</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（3）提出系统的详细需求和制定相关计划。</w:t>
            </w:r>
          </w:p>
          <w:p>
            <w:pPr>
              <w:spacing w:line="360" w:lineRule="exact"/>
              <w:rPr>
                <w:rFonts w:ascii="宋体" w:hAnsi="宋体"/>
              </w:rPr>
            </w:pPr>
            <w:r>
              <w:rPr>
                <w:rFonts w:hint="eastAsia" w:ascii="Times New Roman" w:hAnsi="Times New Roman" w:eastAsia="宋体" w:cs="Times New Roman"/>
                <w:bCs/>
                <w:kern w:val="0"/>
                <w:szCs w:val="21"/>
                <w:lang w:val="en-US" w:eastAsia="zh-CN"/>
              </w:rPr>
              <w:t>（4）掌握软件系统的基本规范在实际开发中的应用。</w:t>
            </w:r>
          </w:p>
          <w:p>
            <w:pPr>
              <w:spacing w:after="0" w:line="420" w:lineRule="exact"/>
              <w:rPr>
                <w:rFonts w:ascii="宋体" w:hAnsi="宋体"/>
                <w:b/>
                <w:bCs/>
              </w:rPr>
            </w:pPr>
            <w:r>
              <w:rPr>
                <w:rFonts w:hint="eastAsia" w:ascii="宋体" w:hAnsi="宋体"/>
                <w:b/>
                <w:bCs/>
              </w:rPr>
              <w:t>六、主要参考文献</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[1]王思辰,李林.基于Vue.js的电商管理平台的设计与实现[J].现代信息科技,2021,5(14):13-15+20.</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[2]张倩,李旭英,林华焜,苟睿,石睿.基于Vue.js+Koa框架的APP平台设计与实现——以酒类文化交流与电子商务为例[J].现代信息科技,2021,5(07):63-66+70.</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[3]王伶俐,张传国.基于NodeJS+Express框架的轻应用定制平台的设计与实现[J].计算机科学,2017,44(S2):596-599.</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[4]苌黄林，李佳，李兰.关于软件工程的需求分析重要价值探析[J].计算机光盘软件与应用，2014，16：68-70.</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[5]张玉.基于Web平台的购物网站的设计与实现[D].华中科技大学,2020.DOI:10.27157/d.cnki.ghzku.2020.004264.</w:t>
            </w:r>
          </w:p>
          <w:p>
            <w:pPr>
              <w:spacing w:line="360" w:lineRule="exact"/>
              <w:rPr>
                <w:rFonts w:ascii="仿宋_GB2312"/>
                <w:sz w:val="24"/>
              </w:rPr>
            </w:pPr>
            <w:r>
              <w:rPr>
                <w:rFonts w:hint="eastAsia" w:ascii="Times New Roman" w:hAnsi="Times New Roman" w:eastAsia="宋体" w:cs="Times New Roman"/>
                <w:bCs/>
                <w:kern w:val="0"/>
                <w:szCs w:val="21"/>
                <w:lang w:val="en-US" w:eastAsia="zh-CN"/>
              </w:rPr>
              <w:t>[6]陈信,孙钦梅,王萌,胡素娟.园林绿化苗木市场分析及产业发展趋势[J].林业建设,2021(04):62-64.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spacing w:after="0" w:line="300" w:lineRule="exact"/>
              <w:jc w:val="center"/>
              <w:rPr>
                <w:rFonts w:ascii="宋体"/>
              </w:rPr>
            </w:pPr>
            <w:r>
              <w:rPr>
                <w:rFonts w:hint="eastAsia" w:ascii="宋体"/>
              </w:rPr>
              <w:t>研究计划</w:t>
            </w:r>
          </w:p>
          <w:p>
            <w:pPr>
              <w:spacing w:after="0" w:line="300" w:lineRule="exact"/>
              <w:jc w:val="center"/>
              <w:rPr>
                <w:rFonts w:ascii="宋体"/>
              </w:rPr>
            </w:pPr>
            <w:r>
              <w:rPr>
                <w:rFonts w:ascii="宋体" w:hAnsi="宋体"/>
              </w:rPr>
              <w:t>︵</w:t>
            </w:r>
          </w:p>
          <w:p>
            <w:pPr>
              <w:spacing w:after="0" w:line="300" w:lineRule="exact"/>
              <w:jc w:val="center"/>
              <w:rPr>
                <w:rFonts w:ascii="宋体"/>
              </w:rPr>
            </w:pPr>
            <w:r>
              <w:rPr>
                <w:rFonts w:hint="eastAsia" w:ascii="宋体"/>
              </w:rPr>
              <w:t>时</w:t>
            </w:r>
          </w:p>
          <w:p>
            <w:pPr>
              <w:spacing w:after="0" w:line="300" w:lineRule="exact"/>
              <w:jc w:val="center"/>
              <w:rPr>
                <w:rFonts w:ascii="宋体"/>
              </w:rPr>
            </w:pPr>
            <w:r>
              <w:rPr>
                <w:rFonts w:hint="eastAsia" w:ascii="宋体"/>
              </w:rPr>
              <w:t>间</w:t>
            </w:r>
          </w:p>
          <w:p>
            <w:pPr>
              <w:spacing w:after="0" w:line="300" w:lineRule="exact"/>
              <w:jc w:val="center"/>
              <w:rPr>
                <w:rFonts w:ascii="宋体"/>
              </w:rPr>
            </w:pPr>
            <w:r>
              <w:rPr>
                <w:rFonts w:hint="eastAsia" w:ascii="宋体"/>
              </w:rPr>
              <w:t>安</w:t>
            </w:r>
          </w:p>
          <w:p>
            <w:pPr>
              <w:spacing w:after="0" w:line="300" w:lineRule="exact"/>
              <w:jc w:val="center"/>
              <w:rPr>
                <w:rFonts w:ascii="宋体"/>
              </w:rPr>
            </w:pPr>
            <w:r>
              <w:rPr>
                <w:rFonts w:hint="eastAsia" w:ascii="宋体"/>
              </w:rPr>
              <w:t>排</w:t>
            </w:r>
          </w:p>
          <w:p>
            <w:pPr>
              <w:spacing w:after="0" w:line="360" w:lineRule="auto"/>
              <w:jc w:val="center"/>
              <w:rPr>
                <w:rFonts w:ascii="仿宋_GB2312"/>
                <w:sz w:val="24"/>
              </w:rPr>
            </w:pPr>
            <w:r>
              <w:rPr>
                <w:rFonts w:ascii="宋体" w:hAnsi="宋体"/>
              </w:rPr>
              <w:t>︶</w:t>
            </w:r>
          </w:p>
        </w:tc>
        <w:tc>
          <w:tcPr>
            <w:tcW w:w="7592" w:type="dxa"/>
            <w:gridSpan w:val="3"/>
          </w:tcPr>
          <w:p>
            <w:pPr>
              <w:widowControl/>
              <w:spacing w:after="240"/>
              <w:jc w:val="left"/>
              <w:rPr>
                <w:rFonts w:ascii="宋体" w:hAnsi="宋体" w:cs="宋体"/>
                <w:color w:val="000000"/>
                <w:kern w:val="0"/>
                <w:sz w:val="23"/>
                <w:szCs w:val="23"/>
              </w:rPr>
            </w:pP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1.查阅相关资料，完成系统需求分析：2022.11.4-2022.12.25</w:t>
            </w: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2.撰写及完善开题报告：2022.12.25-2023.1.6</w:t>
            </w: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3.系统设计和实现：2023.1.6-2023.4.6</w:t>
            </w: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4.撰写毕业设计说明书，修改并完善系统：2023.4.6-2023.5.1</w:t>
            </w: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5.进一步完善系统和毕业设计说明书，答辩：2023.5.1-2023.6.1</w:t>
            </w:r>
          </w:p>
          <w:p>
            <w:pPr>
              <w:widowControl/>
              <w:spacing w:before="240" w:after="240"/>
              <w:jc w:val="left"/>
              <w:rPr>
                <w:rFonts w:ascii="宋体" w:hAnsi="宋体" w:cs="宋体"/>
                <w:color w:val="000000"/>
                <w:kern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jc w:val="center"/>
        </w:trPr>
        <w:tc>
          <w:tcPr>
            <w:tcW w:w="704" w:type="dxa"/>
            <w:vMerge w:val="restart"/>
            <w:vAlign w:val="center"/>
          </w:tcPr>
          <w:p>
            <w:pPr>
              <w:spacing w:after="0" w:line="300" w:lineRule="exact"/>
              <w:jc w:val="center"/>
              <w:rPr>
                <w:rFonts w:ascii="宋体"/>
              </w:rPr>
            </w:pPr>
            <w:r>
              <w:rPr>
                <w:rFonts w:hint="eastAsia" w:ascii="宋体"/>
              </w:rPr>
              <w:t>指</w:t>
            </w:r>
          </w:p>
          <w:p>
            <w:pPr>
              <w:spacing w:after="0" w:line="300" w:lineRule="exact"/>
              <w:jc w:val="center"/>
              <w:rPr>
                <w:rFonts w:ascii="宋体"/>
              </w:rPr>
            </w:pPr>
            <w:r>
              <w:rPr>
                <w:rFonts w:hint="eastAsia" w:ascii="宋体"/>
              </w:rPr>
              <w:t>导</w:t>
            </w:r>
          </w:p>
          <w:p>
            <w:pPr>
              <w:spacing w:after="0" w:line="300" w:lineRule="exact"/>
              <w:jc w:val="center"/>
              <w:rPr>
                <w:rFonts w:ascii="宋体"/>
              </w:rPr>
            </w:pPr>
            <w:r>
              <w:rPr>
                <w:rFonts w:hint="eastAsia" w:ascii="宋体"/>
              </w:rPr>
              <w:t>小</w:t>
            </w:r>
          </w:p>
          <w:p>
            <w:pPr>
              <w:spacing w:after="0" w:line="300" w:lineRule="exact"/>
              <w:jc w:val="center"/>
              <w:rPr>
                <w:rFonts w:ascii="宋体"/>
              </w:rPr>
            </w:pPr>
            <w:r>
              <w:rPr>
                <w:rFonts w:hint="eastAsia" w:ascii="宋体"/>
              </w:rPr>
              <w:t>组</w:t>
            </w:r>
          </w:p>
          <w:p>
            <w:pPr>
              <w:spacing w:after="0" w:line="300" w:lineRule="exact"/>
              <w:jc w:val="center"/>
              <w:rPr>
                <w:rFonts w:ascii="宋体"/>
              </w:rPr>
            </w:pPr>
            <w:r>
              <w:rPr>
                <w:rFonts w:hint="eastAsia" w:ascii="宋体"/>
              </w:rPr>
              <w:t>评</w:t>
            </w:r>
          </w:p>
          <w:p>
            <w:pPr>
              <w:spacing w:after="0" w:line="300" w:lineRule="exact"/>
              <w:jc w:val="center"/>
              <w:rPr>
                <w:rFonts w:ascii="宋体"/>
              </w:rPr>
            </w:pPr>
            <w:r>
              <w:rPr>
                <w:rFonts w:hint="eastAsia" w:ascii="宋体"/>
              </w:rPr>
              <w:t>语</w:t>
            </w:r>
          </w:p>
          <w:p>
            <w:pPr>
              <w:spacing w:after="0" w:line="300" w:lineRule="exact"/>
              <w:jc w:val="center"/>
              <w:rPr>
                <w:rFonts w:ascii="宋体"/>
              </w:rPr>
            </w:pPr>
            <w:r>
              <w:rPr>
                <w:rFonts w:hint="eastAsia" w:ascii="宋体"/>
              </w:rPr>
              <w:t>和</w:t>
            </w:r>
          </w:p>
          <w:p>
            <w:pPr>
              <w:spacing w:after="0" w:line="300" w:lineRule="exact"/>
              <w:jc w:val="center"/>
              <w:rPr>
                <w:rFonts w:ascii="宋体"/>
              </w:rPr>
            </w:pPr>
            <w:r>
              <w:rPr>
                <w:rFonts w:hint="eastAsia" w:ascii="宋体"/>
              </w:rPr>
              <w:t>评</w:t>
            </w:r>
          </w:p>
          <w:p>
            <w:pPr>
              <w:spacing w:after="0" w:line="300" w:lineRule="exact"/>
              <w:jc w:val="center"/>
              <w:rPr>
                <w:rFonts w:ascii="宋体"/>
              </w:rPr>
            </w:pPr>
            <w:r>
              <w:rPr>
                <w:rFonts w:hint="eastAsia" w:ascii="宋体"/>
              </w:rPr>
              <w:t>议</w:t>
            </w:r>
          </w:p>
          <w:p>
            <w:pPr>
              <w:spacing w:after="0" w:line="300" w:lineRule="exact"/>
              <w:jc w:val="center"/>
              <w:rPr>
                <w:rFonts w:ascii="宋体"/>
              </w:rPr>
            </w:pPr>
            <w:r>
              <w:rPr>
                <w:rFonts w:hint="eastAsia" w:ascii="宋体"/>
              </w:rPr>
              <w:t>结</w:t>
            </w:r>
          </w:p>
          <w:p>
            <w:pPr>
              <w:spacing w:after="0" w:line="360" w:lineRule="auto"/>
              <w:jc w:val="center"/>
              <w:rPr>
                <w:rFonts w:ascii="仿宋_GB2312"/>
                <w:sz w:val="24"/>
              </w:rPr>
            </w:pPr>
            <w:r>
              <w:rPr>
                <w:rFonts w:hint="eastAsia" w:ascii="宋体"/>
              </w:rPr>
              <w:t>果</w:t>
            </w:r>
          </w:p>
        </w:tc>
        <w:tc>
          <w:tcPr>
            <w:tcW w:w="7592" w:type="dxa"/>
            <w:gridSpan w:val="3"/>
            <w:tcBorders>
              <w:bottom w:val="nil"/>
            </w:tcBorders>
          </w:tcPr>
          <w:p>
            <w:pPr>
              <w:spacing w:after="0" w:line="360" w:lineRule="exact"/>
              <w:ind w:firstLine="420" w:firstLineChars="200"/>
              <w:rPr>
                <w:rFonts w:ascii="仿宋_GB2312"/>
                <w:sz w:val="24"/>
              </w:rPr>
            </w:pPr>
            <w:r>
              <w:rPr>
                <w:rFonts w:ascii="宋体"/>
              </w:rPr>
              <w:t>报告内容完整，研究思路清晰，方案合理可行，进度安排合理，具有较好的表达能力。建议进一步完善订单支付流程，并按照进度开展后续工作。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5" w:hRule="atLeast"/>
          <w:jc w:val="center"/>
        </w:trPr>
        <w:tc>
          <w:tcPr>
            <w:tcW w:w="704" w:type="dxa"/>
            <w:vMerge w:val="continue"/>
            <w:vAlign w:val="center"/>
          </w:tcPr>
          <w:p>
            <w:pPr>
              <w:spacing w:after="0" w:line="300" w:lineRule="exact"/>
              <w:jc w:val="center"/>
              <w:rPr>
                <w:rFonts w:ascii="宋体"/>
              </w:rPr>
            </w:pPr>
          </w:p>
        </w:tc>
        <w:tc>
          <w:tcPr>
            <w:tcW w:w="7592" w:type="dxa"/>
            <w:gridSpan w:val="3"/>
            <w:tcBorders>
              <w:top w:val="nil"/>
            </w:tcBorders>
          </w:tcPr>
          <w:p>
            <w:pPr>
              <w:tabs>
                <w:tab w:val="left" w:pos="4485"/>
              </w:tabs>
              <w:spacing w:after="0" w:line="360" w:lineRule="auto"/>
              <w:jc w:val="left"/>
              <w:rPr>
                <w:rFonts w:hint="eastAsia" w:ascii="宋体" w:eastAsia="宋体"/>
                <w:lang w:eastAsia="zh-CN"/>
              </w:rPr>
            </w:pPr>
            <w:r>
              <w:rPr>
                <w:rFonts w:hint="eastAsia" w:ascii="宋体"/>
              </w:rPr>
              <w:t>评议结果：</w:t>
            </w:r>
            <w:r>
              <w:rPr>
                <w:rFonts w:ascii="Wingdings 2" w:hAnsi="Wingdings 2"/>
              </w:rPr>
              <w:sym w:font="Wingdings" w:char="00FE"/>
            </w:r>
            <w:r>
              <w:rPr>
                <w:rFonts w:ascii="宋体"/>
              </w:rPr>
              <w:t>合格</w:t>
            </w:r>
            <w:r>
              <w:rPr>
                <w:rFonts w:ascii="宋体"/>
              </w:rPr>
              <w:sym w:font="Wingdings" w:char="00A8"/>
            </w:r>
            <w:r>
              <w:rPr>
                <w:rFonts w:ascii="宋体"/>
              </w:rPr>
              <w:t>不合格</w:t>
            </w:r>
          </w:p>
          <w:p>
            <w:pPr>
              <w:tabs>
                <w:tab w:val="left" w:pos="4485"/>
              </w:tabs>
              <w:spacing w:after="0" w:line="360" w:lineRule="auto"/>
              <w:jc w:val="right"/>
              <w:rPr>
                <w:rFonts w:ascii="宋体"/>
                <w:u w:val="single"/>
              </w:rPr>
            </w:pPr>
            <w:r>
              <w:rPr>
                <w:rFonts w:hint="eastAsia" w:ascii="宋体"/>
              </w:rPr>
              <w:t>指导小组组长签名：</w:t>
            </w:r>
            <w:bookmarkStart w:id="1" w:name="书签"/>
            <w:bookmarkEnd w:id="1"/>
            <w:r>
              <w:rPr>
                <w:rFonts w:ascii="宋体"/>
              </w:rPr>
              <w:t>杨传健</w:t>
            </w:r>
          </w:p>
          <w:p>
            <w:pPr>
              <w:spacing w:after="0" w:line="360" w:lineRule="auto"/>
              <w:jc w:val="right"/>
              <w:rPr>
                <w:rFonts w:ascii="宋体"/>
              </w:rPr>
            </w:pPr>
            <w:r>
              <w:rPr>
                <w:rFonts w:ascii="宋体"/>
              </w:rPr>
              <w:t>2023年</w:t>
            </w:r>
            <w:r>
              <w:rPr>
                <w:rFonts w:hint="eastAsia" w:ascii="宋体"/>
                <w:lang w:val="en-US" w:eastAsia="zh-CN"/>
              </w:rPr>
              <w:t>1</w:t>
            </w:r>
            <w:r>
              <w:rPr>
                <w:rFonts w:ascii="宋体"/>
              </w:rPr>
              <w:t>月</w:t>
            </w:r>
            <w:r>
              <w:rPr>
                <w:rFonts w:hint="eastAsia" w:ascii="宋体"/>
                <w:lang w:val="en-US" w:eastAsia="zh-CN"/>
              </w:rPr>
              <w:t>6</w:t>
            </w:r>
            <w:r>
              <w:rPr>
                <w:rFonts w:asci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spacing w:after="0" w:line="300" w:lineRule="exact"/>
              <w:jc w:val="center"/>
              <w:rPr>
                <w:rFonts w:ascii="宋体"/>
              </w:rPr>
            </w:pPr>
            <w:r>
              <w:rPr>
                <w:rFonts w:hint="eastAsia" w:ascii="宋体"/>
              </w:rPr>
              <w:t>学</w:t>
            </w:r>
          </w:p>
          <w:p>
            <w:pPr>
              <w:spacing w:after="0" w:line="300" w:lineRule="exact"/>
              <w:jc w:val="center"/>
              <w:rPr>
                <w:rFonts w:ascii="宋体"/>
              </w:rPr>
            </w:pPr>
            <w:r>
              <w:rPr>
                <w:rFonts w:hint="eastAsia" w:ascii="宋体"/>
              </w:rPr>
              <w:t>院</w:t>
            </w:r>
          </w:p>
          <w:p>
            <w:pPr>
              <w:spacing w:after="0" w:line="300" w:lineRule="exact"/>
              <w:jc w:val="center"/>
              <w:rPr>
                <w:rFonts w:ascii="宋体"/>
              </w:rPr>
            </w:pPr>
            <w:r>
              <w:rPr>
                <w:rFonts w:hint="eastAsia" w:ascii="宋体"/>
              </w:rPr>
              <w:t>意</w:t>
            </w:r>
          </w:p>
          <w:p>
            <w:pPr>
              <w:spacing w:after="0" w:line="360" w:lineRule="auto"/>
              <w:jc w:val="center"/>
              <w:rPr>
                <w:rFonts w:ascii="仿宋_GB2312"/>
                <w:sz w:val="24"/>
              </w:rPr>
            </w:pPr>
            <w:r>
              <w:rPr>
                <w:rFonts w:hint="eastAsia" w:ascii="宋体"/>
              </w:rPr>
              <w:t>见</w:t>
            </w:r>
          </w:p>
        </w:tc>
        <w:tc>
          <w:tcPr>
            <w:tcW w:w="7592" w:type="dxa"/>
            <w:gridSpan w:val="3"/>
          </w:tcPr>
          <w:p>
            <w:pPr>
              <w:spacing w:after="0" w:line="360" w:lineRule="auto"/>
              <w:ind w:firstLine="420" w:firstLineChars="200"/>
              <w:jc w:val="left"/>
              <w:rPr>
                <w:rFonts w:ascii="宋体"/>
              </w:rPr>
            </w:pPr>
            <w:r>
              <w:rPr>
                <w:rFonts w:hint="eastAsia" w:ascii="宋体"/>
              </w:rPr>
              <w:t>同意。</w:t>
            </w:r>
          </w:p>
          <w:p>
            <w:pPr>
              <w:wordWrap w:val="0"/>
              <w:spacing w:after="0" w:line="360" w:lineRule="auto"/>
              <w:jc w:val="right"/>
              <w:rPr>
                <w:rFonts w:hint="eastAsia" w:ascii="宋体" w:eastAsia="宋体"/>
                <w:lang w:eastAsia="zh-CN"/>
              </w:rPr>
            </w:pPr>
            <w:r>
              <w:rPr>
                <w:rFonts w:hint="eastAsia" w:ascii="Nirmala UI"/>
              </w:rPr>
              <w:t>院（部）负责人签名</w:t>
            </w:r>
            <w:r>
              <w:rPr>
                <w:rFonts w:hint="eastAsia" w:ascii="宋体"/>
              </w:rPr>
              <w:t>：</w:t>
            </w:r>
            <w:r>
              <w:rPr>
                <w:rFonts w:ascii="宋体"/>
              </w:rPr>
              <w:t>杨斌</w:t>
            </w:r>
          </w:p>
          <w:p>
            <w:pPr>
              <w:spacing w:after="0" w:line="360" w:lineRule="auto"/>
              <w:ind w:firstLine="420" w:firstLineChars="200"/>
              <w:jc w:val="right"/>
              <w:rPr>
                <w:rFonts w:ascii="仿宋_GB2312"/>
                <w:sz w:val="24"/>
              </w:rPr>
            </w:pPr>
            <w:r>
              <w:rPr>
                <w:rFonts w:ascii="宋体"/>
              </w:rPr>
              <w:t>2023年</w:t>
            </w:r>
            <w:r>
              <w:rPr>
                <w:rFonts w:hint="eastAsia" w:ascii="宋体"/>
                <w:lang w:val="en-US" w:eastAsia="zh-CN"/>
              </w:rPr>
              <w:t>1</w:t>
            </w:r>
            <w:r>
              <w:rPr>
                <w:rFonts w:ascii="宋体"/>
              </w:rPr>
              <w:t>月</w:t>
            </w:r>
            <w:r>
              <w:rPr>
                <w:rFonts w:hint="eastAsia" w:ascii="宋体"/>
                <w:lang w:val="en-US" w:eastAsia="zh-CN"/>
              </w:rPr>
              <w:t>1</w:t>
            </w:r>
            <w:r>
              <w:rPr>
                <w:rFonts w:ascii="宋体"/>
              </w:rPr>
              <w:t>0日</w:t>
            </w:r>
          </w:p>
        </w:tc>
      </w:tr>
    </w:tbl>
    <w:p>
      <w:pPr>
        <w:rPr>
          <w:rFonts w:ascii="仿宋_GB2312" w:eastAsia="仿宋_GB2312"/>
          <w:color w:val="000000"/>
        </w:rPr>
      </w:pPr>
      <w:r>
        <w:rPr>
          <w:rFonts w:hint="eastAsia" w:ascii="仿宋_GB2312" w:eastAsia="仿宋_GB2312"/>
          <w:bCs/>
          <w:color w:val="000000"/>
        </w:rPr>
        <w:t>说明：此</w:t>
      </w:r>
      <w:r>
        <w:rPr>
          <w:rFonts w:hint="eastAsia" w:ascii="仿宋_GB2312" w:eastAsia="仿宋_GB2312"/>
          <w:color w:val="000000"/>
        </w:rPr>
        <w:t>表同毕业设计（论文）其他材料一起交学院保存。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Wingdings 2">
    <w:altName w:val="Wingdings"/>
    <w:panose1 w:val="00000000000000000000"/>
    <w:charset w:val="00"/>
    <w:family w:val="auto"/>
    <w:pitch w:val="default"/>
    <w:sig w:usb0="00000000" w:usb1="00000000" w:usb2="00000000" w:usb3="00000000" w:csb0="00000000" w:csb1="00000000"/>
  </w:font>
  <w:font w:name="Nirmala UI">
    <w:panose1 w:val="020B0502040204020203"/>
    <w:charset w:val="00"/>
    <w:family w:val="swiss"/>
    <w:pitch w:val="default"/>
    <w:sig w:usb0="80FF8023" w:usb1="0200004A" w:usb2="00000200" w:usb3="00040000" w:csb0="0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zllMmY2NmE4ZDIyMjU3OWRjYzJlMmU5NjFhMTllMTgifQ=="/>
  </w:docVars>
  <w:rsids>
    <w:rsidRoot w:val="002060E0"/>
    <w:rsid w:val="002060E0"/>
    <w:rsid w:val="00242EFD"/>
    <w:rsid w:val="005E49D1"/>
    <w:rsid w:val="00837B35"/>
    <w:rsid w:val="009F4138"/>
    <w:rsid w:val="00AF4667"/>
    <w:rsid w:val="00C26166"/>
    <w:rsid w:val="00D31054"/>
    <w:rsid w:val="00E00C8E"/>
    <w:rsid w:val="022F447C"/>
    <w:rsid w:val="18BE602D"/>
    <w:rsid w:val="1E1D592C"/>
    <w:rsid w:val="1F8A0C7F"/>
    <w:rsid w:val="296458D5"/>
    <w:rsid w:val="3B4A5509"/>
    <w:rsid w:val="413002AD"/>
    <w:rsid w:val="462E7BA0"/>
    <w:rsid w:val="46A711AE"/>
    <w:rsid w:val="478430C2"/>
    <w:rsid w:val="50AA211B"/>
    <w:rsid w:val="537C1508"/>
    <w:rsid w:val="583F058A"/>
    <w:rsid w:val="6C19285A"/>
    <w:rsid w:val="740A1B63"/>
    <w:rsid w:val="74A716E7"/>
    <w:rsid w:val="76A462D0"/>
    <w:rsid w:val="7D4B7801"/>
    <w:rsid w:val="7ED117E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kern w:val="2"/>
      <w:sz w:val="18"/>
      <w:szCs w:val="18"/>
    </w:rPr>
  </w:style>
  <w:style w:type="character" w:customStyle="1" w:styleId="9">
    <w:name w:val="页脚 字符"/>
    <w:basedOn w:val="7"/>
    <w:link w:val="3"/>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2769</Words>
  <Characters>3178</Characters>
  <Lines>12</Lines>
  <Paragraphs>3</Paragraphs>
  <TotalTime>12</TotalTime>
  <ScaleCrop>false</ScaleCrop>
  <LinksUpToDate>false</LinksUpToDate>
  <CharactersWithSpaces>3252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2021-05-25T13:07:00Z</dcterms:created>
  <dc:creator>刘 亚欣</dc:creator>
  <cp:lastModifiedBy>养乐多</cp:lastModifiedBy>
  <dcterms:modified xsi:type="dcterms:W3CDTF">2023-06-02T10:18:17Z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6A1C0CFFB4A24A2B810B3B8A10E0A286</vt:lpwstr>
  </property>
  <property fmtid="{D5CDD505-2E9C-101B-9397-08002B2CF9AE}" pid="5" name="KSOProductBuildVer">
    <vt:lpwstr>2052-11.1.0.14309</vt:lpwstr>
  </property>
</Properties>
</file>