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</w:p>
    <w:p>
      <w:pPr>
        <w:jc w:val="center"/>
        <w:rPr>
          <w:rFonts w:eastAsia="楷体_GB2312"/>
          <w:sz w:val="44"/>
        </w:rPr>
      </w:pPr>
      <w:r>
        <w:rPr>
          <w:rFonts w:hint="eastAsia" w:eastAsia="楷体_GB2312"/>
          <w:sz w:val="44"/>
        </w:rPr>
        <w:drawing>
          <wp:inline distT="0" distB="0" distL="0" distR="0">
            <wp:extent cx="2682240" cy="1010920"/>
            <wp:effectExtent l="0" t="0" r="0" b="0"/>
            <wp:docPr id="1" name="图片 1" descr="D:\我的资料库\Pictures\透明校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:\我的资料库\Pictures\透明校徽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eastAsia="楷体_GB2312"/>
          <w:sz w:val="44"/>
        </w:rPr>
      </w:pPr>
    </w:p>
    <w:p>
      <w:pPr>
        <w:rPr>
          <w:rFonts w:eastAsia="楷体_GB2312"/>
          <w:sz w:val="44"/>
        </w:rPr>
      </w:pPr>
    </w:p>
    <w:p/>
    <w:p/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</w:rPr>
        <w:t>本科毕业设计（论文）开题报告表</w:t>
      </w:r>
    </w:p>
    <w:p/>
    <w:p/>
    <w:p/>
    <w:p/>
    <w:p/>
    <w:p/>
    <w:p/>
    <w:p/>
    <w:p/>
    <w:p/>
    <w:tbl>
      <w:tblPr>
        <w:tblStyle w:val="5"/>
        <w:tblpPr w:leftFromText="180" w:rightFromText="180" w:vertAnchor="text" w:horzAnchor="margin" w:tblpXSpec="center" w:tblpY="97"/>
        <w:tblOverlap w:val="never"/>
        <w:tblW w:w="73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59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宋体" w:hAnsi="宋体"/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28"/>
              </w:rPr>
              <w:t>课题题目</w:t>
            </w:r>
          </w:p>
        </w:tc>
        <w:tc>
          <w:tcPr>
            <w:tcW w:w="5956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学生姓名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李鑫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所学专业</w:t>
            </w:r>
            <w:r>
              <w:rPr>
                <w:rFonts w:hint="eastAsia" w:ascii="仿宋_GB2312" w:eastAsia="仿宋_GB2312"/>
                <w:sz w:val="28"/>
              </w:rPr>
              <w:t xml:space="preserve"> 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rFonts w:ascii="仿宋_GB2312" w:eastAsia="仿宋_GB2312"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导师姓名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b/>
                <w:bCs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 xml:space="preserve">张燕玲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560" w:lineRule="exact"/>
              <w:jc w:val="right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报告日期</w:t>
            </w:r>
          </w:p>
        </w:tc>
        <w:tc>
          <w:tcPr>
            <w:tcW w:w="595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adjustRightInd w:val="0"/>
              <w:snapToGrid w:val="0"/>
              <w:spacing w:after="0" w:line="300" w:lineRule="auto"/>
              <w:jc w:val="center"/>
              <w:rPr>
                <w:rFonts w:ascii="宋体" w:hAnsi="宋体" w:cs="宋体"/>
                <w:sz w:val="28"/>
              </w:rPr>
            </w:pPr>
            <w:r>
              <w:rPr>
                <w:rFonts w:hint="eastAsia" w:ascii="宋体" w:hAnsi="宋体" w:cs="宋体"/>
                <w:b/>
                <w:bCs/>
                <w:sz w:val="28"/>
              </w:rPr>
              <w:t>2023年1月</w:t>
            </w:r>
            <w:r>
              <w:rPr>
                <w:rFonts w:hint="eastAsia" w:ascii="宋体" w:hAnsi="宋体" w:cs="宋体"/>
                <w:b/>
                <w:bCs/>
                <w:sz w:val="28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b/>
                <w:bCs/>
                <w:sz w:val="28"/>
              </w:rPr>
              <w:t>日</w:t>
            </w:r>
          </w:p>
        </w:tc>
      </w:tr>
    </w:tbl>
    <w:p/>
    <w:p/>
    <w:p/>
    <w:p/>
    <w:p/>
    <w:p/>
    <w:p>
      <w:pPr>
        <w:rPr>
          <w:b/>
          <w:bCs/>
          <w:sz w:val="28"/>
        </w:rPr>
      </w:pPr>
    </w:p>
    <w:p>
      <w:pPr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教务处制</w:t>
      </w:r>
    </w:p>
    <w:p>
      <w:pPr>
        <w:widowControl/>
        <w:jc w:val="left"/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jc w:val="center"/>
        <w:rPr>
          <w:b/>
          <w:bCs/>
          <w:sz w:val="28"/>
        </w:rPr>
        <w:sectPr>
          <w:pgSz w:w="11906" w:h="16838"/>
          <w:pgMar w:top="1440" w:right="1800" w:bottom="1440" w:left="1800" w:header="851" w:footer="992" w:gutter="0"/>
          <w:cols w:space="720" w:num="1"/>
          <w:docGrid w:linePitch="312" w:charSpace="0"/>
        </w:sectPr>
      </w:pPr>
    </w:p>
    <w:p/>
    <w:p>
      <w:pPr>
        <w:jc w:val="center"/>
        <w:rPr>
          <w:rFonts w:eastAsia="黑体"/>
          <w:sz w:val="32"/>
          <w:szCs w:val="32"/>
        </w:rPr>
      </w:pPr>
      <w:r>
        <w:rPr>
          <w:rFonts w:hint="eastAsia" w:eastAsia="黑体"/>
          <w:sz w:val="32"/>
          <w:szCs w:val="32"/>
        </w:rPr>
        <w:t>关于本科毕业设计（论文）开题报告的规定</w:t>
      </w:r>
    </w:p>
    <w:p/>
    <w:p/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为切实做好本科毕业设计（论文）的开题报告工作，保证论文质量，特作如下规定：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一、开题报告是本科毕业设计（论文）的必经过程，所有本科生在写作毕业设计（论文）之前都必须作开题报告。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二、开题报告主要检验学生对专业知识的驾驭能力和研究能力，考察写作论文的准备工作是否深入细致，包括选题是否恰当，资料占有是否翔实、全面，对国内外的研究状况是否了解，本人的研究是否具有创新性等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三、毕业设计（论文）开题报告前，学生必须根据所学专业培养目标，与教师双向选择后确定选题，在指导教师的指导下，广泛查阅文献，深入调查研究，收集资料，制定研究方案，在此基础上撰写开题报告。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四、学生设计（论文）开题前需认真填写开题报告表，并向导师提出申请，由毕业设计（论文）指导小组负责开题报告的评议。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五、毕业设计（论文）指导小组应当对开题报告进行认真评议，主要评议论文选题是否恰当，研究设想是否合理、可行，研究内容与方法是否具有开拓性、创新性，是否可以开始进行论文写作等。评议结果分为“合格”和“不合格”两种，学生开题报告评议结果须为“合格”方可开始论文写作。毕业设计（论文）指导小组不得少于3人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六、开题报告表应送交所在学院保存。</w:t>
      </w:r>
    </w:p>
    <w:p>
      <w:pPr>
        <w:spacing w:after="0" w:line="360" w:lineRule="auto"/>
        <w:ind w:firstLine="437"/>
        <w:rPr>
          <w:rFonts w:ascii="仿宋_GB2312"/>
          <w:sz w:val="24"/>
        </w:rPr>
      </w:pPr>
      <w:r>
        <w:rPr>
          <w:rFonts w:hint="eastAsia" w:ascii="仿宋_GB2312"/>
          <w:sz w:val="24"/>
        </w:rPr>
        <w:t>七、表中各项可自行加页。</w:t>
      </w:r>
    </w:p>
    <w:p>
      <w:pPr>
        <w:widowControl/>
        <w:jc w:val="left"/>
        <w:rPr>
          <w:rFonts w:ascii="仿宋_GB2312"/>
          <w:sz w:val="24"/>
        </w:rPr>
      </w:pPr>
      <w:r>
        <w:rPr>
          <w:rFonts w:ascii="仿宋_GB2312"/>
          <w:sz w:val="24"/>
        </w:rPr>
        <w:br w:type="page"/>
      </w:r>
    </w:p>
    <w:p>
      <w:pPr>
        <w:widowControl/>
        <w:jc w:val="left"/>
        <w:rPr>
          <w:rFonts w:ascii="仿宋_GB2312"/>
          <w:sz w:val="24"/>
        </w:rPr>
      </w:pPr>
    </w:p>
    <w:tbl>
      <w:tblPr>
        <w:tblStyle w:val="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2126"/>
        <w:gridCol w:w="2835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bookmarkStart w:id="0" w:name="T_AnswersPerson1_Merge_1_0"/>
            <w:bookmarkEnd w:id="0"/>
            <w:r>
              <w:rPr>
                <w:rFonts w:hint="eastAsia" w:ascii="宋体" w:hAnsi="宋体"/>
              </w:rPr>
              <w:t>题目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基于Vue3 + NodeJS的苗木交易平台的设计与实现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成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员</w:t>
            </w:r>
          </w:p>
        </w:tc>
        <w:tc>
          <w:tcPr>
            <w:tcW w:w="2126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姓名</w:t>
            </w:r>
          </w:p>
        </w:tc>
        <w:tc>
          <w:tcPr>
            <w:tcW w:w="2835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专业技术职务或职称</w:t>
            </w:r>
          </w:p>
        </w:tc>
        <w:tc>
          <w:tcPr>
            <w:tcW w:w="2631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 w:hAnsi="宋体"/>
              </w:rPr>
              <w:t>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副教授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杨传健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高级实验师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温卫敏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vMerge w:val="continue"/>
            <w:vAlign w:val="center"/>
          </w:tcPr>
          <w:p/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助教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t>邰其心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704" w:type="dxa"/>
            <w:vMerge w:val="continue"/>
          </w:tcPr>
          <w:p>
            <w:pPr>
              <w:spacing w:after="0" w:line="360" w:lineRule="auto"/>
              <w:rPr>
                <w:rFonts w:ascii="仿宋_GB2312"/>
                <w:sz w:val="24"/>
              </w:rPr>
            </w:pPr>
          </w:p>
        </w:tc>
        <w:tc>
          <w:tcPr>
            <w:tcW w:w="2126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835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2631" w:type="dxa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</w:p>
        </w:tc>
        <w:tc>
          <w:tcPr>
            <w:tcW w:w="7592" w:type="dxa"/>
            <w:gridSpan w:val="3"/>
          </w:tcPr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一、研究现状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随着web前端开发行业的发展，各种新技术新工具也不断的涌现。在目前的大前端开发环境下，出现了Vue、React、Angular等js框架。其中Vue专注于构建用户界面，采用单向数据流架构，在短时间内提供了复杂web应用程序所需的简单性和强大功能之间的出色平衡，于2014年2月发布源代码，并于2016年以及2020年先后推出Vue2、Vue3，均在原有的基础上进行了非常大的重构与性能提升。并且随着JavaScript的发展，NodeJS在服务端的表现也极为出色。Vue和NodeJS凭借其易用易学、易于调试和轻量级且性能极佳等优势，如今已经成为众多开发者的首选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随着时代的发展，各个地区对于坏境的要求愈来愈高，对于绿植的需求也越来越大，苗木产业也因此逐渐兴起。目前苗木来源大体分为两种，一种由大规模集中式的苗圃提供，其次则是散落在各个乡镇中个人栽种</w:t>
            </w:r>
            <w:bookmarkStart w:id="1" w:name="OLE_LINK1"/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的苗木，然而这种途径通常是通过寻苗工人的在村落中挨家挨户找寻到的。信息分散，交易不明确，存在很多的不安定因素，导致传统的苗木移栽产业的发展</w:t>
            </w:r>
            <w:bookmarkEnd w:id="1"/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渐渐跟不上时代的步伐。为此，我们设计了苗木交易平台，即一款专为从业苗木产业相关人员设计的软件，将分散各地的苗木聚合起来，买卖双方通过此系统浏览发布苗木信息，可以相互交流详情。采用了与互联网结合的新形式，与时代技术相融合，推动苗木产业的发展。</w:t>
            </w:r>
          </w:p>
          <w:p>
            <w:pPr>
              <w:spacing w:after="0" w:line="440" w:lineRule="exact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二、选题意义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近年来的调查显示，目前苗木产业仍然大量采用传统模式进行运作。传统的苗木交易方式需要耗费大量人力、物力和时间成本，并且存在信息不对称的问题，导致交易双方难以获得准确的信息。目前我国有一些苗木相关平台，如苗木通、苗木网等，但这些平台主要面向大规模苗圃，对于小规模的个人苗木种植商和苗木买家提供渠道较少，对于需求量并不大的苗木买家而言，仍然需要耗费大量时间在散落的村户中逐个寻找农户进行交易。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因此我们设计并实现了此苗木交易平台，“互联网+苗木”已成为大势所趋，打破了空间和时间的限制，不仅提升了苗农的营业额，也减少了各类经营成本，提高了苗农收益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instrText xml:space="preserve"> REF _Ref9350 \r \h </w:instrTex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fldChar w:fldCharType="separate"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t>[1]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vertAlign w:val="superscript"/>
                <w:lang w:val="en-US" w:eastAsia="zh-CN"/>
              </w:rPr>
              <w:fldChar w:fldCharType="end"/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。基于 Vue3+NodeJS 的苗木交易平台的设计与实现具有重要意义，该平台可以提高苗木交易的效率和质量，推动苗木行业的发展，满足市场需求，并具有广阔的应用前景，通过实现该系统也加强了自身编程能力。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三、研究方法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（1） 文献研究法。查阅并调研已有的文献，针对本系统所涉及到的相关内容和 技术进行查阅资料，利用JavaScript语言进行框架和布局的设计、jwt登录认证技术 以及用户交互的设计。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（2） 原型法：指在获取一组基本的需求定义后，利用高级软件工具可视化的开 发环境，快速地建立一个目标的最初版本，并把它交给用户试用、补充和修改，再 进行新的版本开发。反复进行这个过程，直到得出系统的“精确解”，即用户满意 为止。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（3） 实证研究法：科学实践研究的一种特殊形式。根据查阅资料所获得的理论 知识和实践的需要，提出设计，利用实验器具，在自然条件下，透过有目的有步骤 地操纵，根据观察、记录、测定与此相伴随的现象的变化来确定条件与现象之间的 因果关系的活动。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四、研究内容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本文所提出的基于Vue3+NodeJS的苗木交易平台可实现以下功能： 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种植苗木用户：注册登录，查看苗木市场，发布苗木，查看个人记录（个人交易、 浏览记录、个人收藏、关注列表、粉丝列表）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，</w:t>
            </w:r>
            <w:bookmarkStart w:id="3" w:name="_GoBack"/>
            <w:bookmarkEnd w:id="3"/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实时联系买家进行沟通交流，个人中心（信息管理，订单管理，苗木管理）。 </w:t>
            </w:r>
          </w:p>
          <w:p>
            <w:pPr>
              <w:spacing w:line="360" w:lineRule="exact"/>
              <w:ind w:firstLine="420" w:firstLineChars="0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收购苗木用户：浏览苗木资源信息(苗木类型、时间、价格、地址)，发布收苗木 帖子，购买苗木，订单支付，收藏苗木，关注用户，查看个人记录，个人订单管理， 个人收苗木帖子管理，个人信息管理,实时联系卖家进行沟通交流。 </w:t>
            </w:r>
          </w:p>
          <w:p>
            <w:pPr>
              <w:spacing w:line="360" w:lineRule="exact"/>
              <w:ind w:firstLine="420" w:firstLineChars="0"/>
              <w:rPr>
                <w:rFonts w:hint="default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管理员：可以管理各类苗木信息、管理用户信息、审核管理苗木信息和查 看并管理订单记录信息，个人信息管理以及统计分析。 系统的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前台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功能模块如图4-1所示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，系统后台功能模块图如图4-2所示。</w:t>
            </w:r>
          </w:p>
          <w:p>
            <w:pPr>
              <w:widowControl/>
              <w:spacing w:before="0" w:after="240"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drawing>
                <wp:inline distT="0" distB="0" distL="114300" distR="114300">
                  <wp:extent cx="3789680" cy="2895600"/>
                  <wp:effectExtent l="0" t="0" r="1270" b="0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9680" cy="289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exact"/>
              <w:ind w:firstLine="420" w:firstLineChars="0"/>
              <w:jc w:val="center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图4-1系统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前台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功能图</w:t>
            </w:r>
          </w:p>
          <w:p>
            <w:pPr>
              <w:spacing w:line="360" w:lineRule="auto"/>
              <w:ind w:firstLine="420" w:firstLineChars="0"/>
              <w:jc w:val="center"/>
            </w:pPr>
            <w:r>
              <w:drawing>
                <wp:inline distT="0" distB="0" distL="114300" distR="114300">
                  <wp:extent cx="3066415" cy="2893060"/>
                  <wp:effectExtent l="0" t="0" r="635" b="2540"/>
                  <wp:docPr id="9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415" cy="289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ind w:firstLine="420" w:firstLineChars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图4-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系统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>后台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功能图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五、研究基本要求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（1）了解web应用前景和开发流程。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（2）收集基于Vue3+NodeJS的苗木交易平台的相关学习资料。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（3）提出系统的详细需求和制定相关计划。 </w:t>
            </w:r>
          </w:p>
          <w:p>
            <w:pPr>
              <w:spacing w:line="360" w:lineRule="exact"/>
              <w:rPr>
                <w:rFonts w:ascii="宋体" w:hAnsi="宋体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（4）掌握软件系统的基本规范在实际开发中的应用。</w:t>
            </w:r>
          </w:p>
          <w:p>
            <w:pPr>
              <w:spacing w:after="0" w:line="420" w:lineRule="exact"/>
              <w:rPr>
                <w:rFonts w:ascii="宋体" w:hAnsi="宋体"/>
                <w:b/>
                <w:bCs/>
              </w:rPr>
            </w:pPr>
            <w:r>
              <w:rPr>
                <w:rFonts w:hint="eastAsia" w:ascii="宋体" w:hAnsi="宋体"/>
                <w:b/>
                <w:bCs/>
              </w:rPr>
              <w:t>六、主要参考文献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[1]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王思辰,李林.基于Vue.js的电商管理平台的设计与实现[J].现代信息科技 ,2021,5(14):13-15+20.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[2]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张倩,李旭英,林华焜,苟睿,石睿.基于Vue.js+Koa框架的APP平台设计与实 现——以酒类文化交流与电子商务为例[J].现代信息科技,2021,5(07):63-66+70.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[3]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王伶俐,张传国.基于NodeJS+Express框架的轻应用定制平台的设计与实现 [J].计算机科学,2017,44(S2):596-599.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[4] 苌黄林，李佳，李兰.关于软件工程的需求分析重要价值探析[J].计算机 光盘软件与应用，2014，16：68-70. </w:t>
            </w:r>
          </w:p>
          <w:p>
            <w:pPr>
              <w:spacing w:line="360" w:lineRule="exact"/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[5]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 xml:space="preserve">张玉. 基于Web平台的购物网站的设计与实现[D].华中科技大学,2020.DOI: 10.27157/d.cnki.ghzku.2020.004264. </w:t>
            </w:r>
          </w:p>
          <w:p>
            <w:pPr>
              <w:spacing w:line="360" w:lineRule="exact"/>
              <w:rPr>
                <w:rFonts w:ascii="仿宋_GB2312"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[6]</w:t>
            </w:r>
            <w:r>
              <w:rPr>
                <w:rFonts w:hint="eastAsia" w:cs="Times New Roman"/>
                <w:bCs/>
                <w:kern w:val="0"/>
                <w:szCs w:val="21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Cs w:val="21"/>
                <w:lang w:val="en-US" w:eastAsia="zh-CN"/>
              </w:rPr>
              <w:t>陈信,孙钦梅,王萌,胡素娟.园林绿化苗木市场分析及产业发展趋势[J].林 业建设,2021(04):62-64.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研 究 计 划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ascii="宋体" w:hAnsi="宋体"/>
              </w:rPr>
              <w:t>︵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时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间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安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排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ascii="宋体" w:hAnsi="宋体"/>
              </w:rPr>
              <w:t>︶</w:t>
            </w:r>
          </w:p>
        </w:tc>
        <w:tc>
          <w:tcPr>
            <w:tcW w:w="7592" w:type="dxa"/>
            <w:gridSpan w:val="3"/>
          </w:tcPr>
          <w:p>
            <w:pPr>
              <w:widowControl/>
              <w:spacing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1.查阅相关资料，完成系统需求分析：2022.11.4 - 2022.12.25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2.撰写及完善开题报告：2022.12.25 - 2023.1.6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3.系统设计和实现：2023.1.6 - 2023.4.6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 xml:space="preserve">4.撰写毕业设计说明书，修改并完善系统：2023.4.6 - 2023.5.1 </w:t>
            </w:r>
          </w:p>
          <w:p>
            <w:pPr>
              <w:spacing w:line="360" w:lineRule="exact"/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/>
                <w:kern w:val="0"/>
                <w:szCs w:val="21"/>
                <w:lang w:val="en-US" w:eastAsia="zh-CN"/>
              </w:rPr>
              <w:t>5.进一步完善系统和毕业设计说明书，答辩：2023.5.1 - 2023.6.1</w:t>
            </w:r>
          </w:p>
          <w:p>
            <w:pPr>
              <w:widowControl/>
              <w:spacing w:before="240" w:after="240"/>
              <w:jc w:val="left"/>
              <w:rPr>
                <w:rFonts w:ascii="宋体" w:hAnsi="宋体" w:cs="宋体"/>
                <w:color w:val="000000"/>
                <w:kern w:val="0"/>
                <w:sz w:val="23"/>
                <w:szCs w:val="2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6" w:hRule="atLeast"/>
          <w:jc w:val="center"/>
        </w:trPr>
        <w:tc>
          <w:tcPr>
            <w:tcW w:w="704" w:type="dxa"/>
            <w:vMerge w:val="restart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指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导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小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语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和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评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议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结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果</w:t>
            </w:r>
          </w:p>
        </w:tc>
        <w:tc>
          <w:tcPr>
            <w:tcW w:w="7592" w:type="dxa"/>
            <w:gridSpan w:val="3"/>
            <w:tcBorders>
              <w:bottom w:val="nil"/>
            </w:tcBorders>
          </w:tcPr>
          <w:p>
            <w:pPr>
              <w:spacing w:after="0" w:line="360" w:lineRule="exact"/>
              <w:ind w:firstLine="420" w:firstLineChars="200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报告内容完整，研究思路清晰，方案合理可行，进度安排合理，具有较好的表达能力。建议进一步完善订单支付流程，并按照进度开展后续工作。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35" w:hRule="atLeast"/>
          <w:jc w:val="center"/>
        </w:trPr>
        <w:tc>
          <w:tcPr>
            <w:tcW w:w="704" w:type="dxa"/>
            <w:vMerge w:val="continue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</w:p>
        </w:tc>
        <w:tc>
          <w:tcPr>
            <w:tcW w:w="7592" w:type="dxa"/>
            <w:gridSpan w:val="3"/>
            <w:tcBorders>
              <w:top w:val="nil"/>
            </w:tcBorders>
          </w:tcPr>
          <w:p>
            <w:pPr>
              <w:tabs>
                <w:tab w:val="left" w:pos="4485"/>
              </w:tabs>
              <w:spacing w:after="0" w:line="360" w:lineRule="auto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评议结果：</w:t>
            </w:r>
            <w:r>
              <w:rPr>
                <w:rFonts w:ascii="宋体"/>
              </w:rPr>
              <w:t xml:space="preserve"> </w:t>
            </w:r>
            <w:r>
              <w:rPr>
                <w:rFonts w:ascii="Wingdings 2" w:hAnsi="Wingdings 2"/>
              </w:rPr>
              <w:sym w:font="Wingdings 2" w:char="F09E"/>
            </w:r>
            <w:r>
              <w:rPr>
                <w:rFonts w:ascii="宋体"/>
              </w:rPr>
              <w:t xml:space="preserve">合格 </w:t>
            </w:r>
            <w:r>
              <w:rPr>
                <w:rFonts w:ascii="Wingdings 2" w:hAnsi="Wingdings 2"/>
              </w:rPr>
              <w:sym w:font="Wingdings 2" w:char="F081"/>
            </w:r>
            <w:r>
              <w:rPr>
                <w:rFonts w:ascii="宋体"/>
              </w:rPr>
              <w:t xml:space="preserve">不合格 </w:t>
            </w:r>
          </w:p>
          <w:p>
            <w:pPr>
              <w:tabs>
                <w:tab w:val="left" w:pos="4485"/>
              </w:tabs>
              <w:spacing w:after="0" w:line="360" w:lineRule="auto"/>
              <w:jc w:val="right"/>
              <w:rPr>
                <w:rFonts w:ascii="宋体"/>
                <w:u w:val="single"/>
              </w:rPr>
            </w:pPr>
            <w:r>
              <w:rPr>
                <w:rFonts w:hint="eastAsia" w:ascii="宋体"/>
              </w:rPr>
              <w:t>指导小组组长签名：</w:t>
            </w:r>
            <w:bookmarkStart w:id="2" w:name="书签"/>
            <w:bookmarkEnd w:id="2"/>
            <w:r>
              <w:rPr>
                <w:rFonts w:ascii="宋体"/>
              </w:rPr>
              <w:t>杨传健</w:t>
            </w:r>
          </w:p>
          <w:p>
            <w:pPr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6</w:t>
            </w:r>
            <w:r>
              <w:rPr>
                <w:rFonts w:ascii="宋体"/>
              </w:rPr>
              <w:t>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04" w:type="dxa"/>
            <w:vAlign w:val="center"/>
          </w:tcPr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学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院</w:t>
            </w:r>
          </w:p>
          <w:p>
            <w:pPr>
              <w:spacing w:after="0" w:line="300" w:lineRule="exact"/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意</w:t>
            </w:r>
          </w:p>
          <w:p>
            <w:pPr>
              <w:spacing w:after="0" w:line="360" w:lineRule="auto"/>
              <w:jc w:val="center"/>
              <w:rPr>
                <w:rFonts w:ascii="仿宋_GB2312"/>
                <w:sz w:val="24"/>
              </w:rPr>
            </w:pPr>
            <w:r>
              <w:rPr>
                <w:rFonts w:hint="eastAsia" w:ascii="宋体"/>
              </w:rPr>
              <w:t>见</w:t>
            </w:r>
          </w:p>
        </w:tc>
        <w:tc>
          <w:tcPr>
            <w:tcW w:w="7592" w:type="dxa"/>
            <w:gridSpan w:val="3"/>
          </w:tcPr>
          <w:p>
            <w:pPr>
              <w:spacing w:after="0" w:line="360" w:lineRule="auto"/>
              <w:ind w:firstLine="420" w:firstLineChars="200"/>
              <w:jc w:val="left"/>
              <w:rPr>
                <w:rFonts w:ascii="宋体"/>
              </w:rPr>
            </w:pPr>
            <w:r>
              <w:rPr>
                <w:rFonts w:hint="eastAsia" w:ascii="宋体"/>
              </w:rPr>
              <w:t>同意。</w:t>
            </w:r>
          </w:p>
          <w:p>
            <w:pPr>
              <w:wordWrap w:val="0"/>
              <w:spacing w:after="0" w:line="360" w:lineRule="auto"/>
              <w:jc w:val="right"/>
              <w:rPr>
                <w:rFonts w:ascii="宋体"/>
              </w:rPr>
            </w:pPr>
            <w:r>
              <w:rPr>
                <w:rFonts w:hint="eastAsia" w:ascii="Nirmala UI"/>
              </w:rPr>
              <w:t>院（部）负责人签名</w:t>
            </w:r>
            <w:r>
              <w:rPr>
                <w:rFonts w:hint="eastAsia" w:ascii="宋体"/>
              </w:rPr>
              <w:t xml:space="preserve">： </w:t>
            </w:r>
            <w:r>
              <w:rPr>
                <w:rFonts w:ascii="宋体"/>
              </w:rPr>
              <w:t xml:space="preserve">杨斌 </w:t>
            </w:r>
          </w:p>
          <w:p>
            <w:pPr>
              <w:spacing w:after="0" w:line="360" w:lineRule="auto"/>
              <w:ind w:firstLine="420" w:firstLineChars="200"/>
              <w:jc w:val="right"/>
              <w:rPr>
                <w:rFonts w:ascii="仿宋_GB2312"/>
                <w:sz w:val="24"/>
              </w:rPr>
            </w:pPr>
            <w:r>
              <w:rPr>
                <w:rFonts w:ascii="宋体"/>
              </w:rPr>
              <w:t>2023年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月</w:t>
            </w:r>
            <w:r>
              <w:rPr>
                <w:rFonts w:hint="eastAsia" w:ascii="宋体"/>
                <w:lang w:val="en-US" w:eastAsia="zh-CN"/>
              </w:rPr>
              <w:t>1</w:t>
            </w:r>
            <w:r>
              <w:rPr>
                <w:rFonts w:ascii="宋体"/>
              </w:rPr>
              <w:t>0日</w:t>
            </w:r>
          </w:p>
        </w:tc>
      </w:tr>
    </w:tbl>
    <w:p>
      <w:pPr>
        <w:rPr>
          <w:rFonts w:ascii="仿宋_GB2312" w:eastAsia="仿宋_GB2312"/>
          <w:color w:val="000000"/>
        </w:rPr>
      </w:pPr>
      <w:r>
        <w:rPr>
          <w:rFonts w:hint="eastAsia" w:ascii="仿宋_GB2312" w:eastAsia="仿宋_GB2312"/>
          <w:bCs/>
          <w:color w:val="000000"/>
        </w:rPr>
        <w:t>说明：此</w:t>
      </w:r>
      <w:r>
        <w:rPr>
          <w:rFonts w:hint="eastAsia" w:ascii="仿宋_GB2312" w:eastAsia="仿宋_GB2312"/>
          <w:color w:val="000000"/>
        </w:rPr>
        <w:t>表同毕业设计（论文）其他材料一起交学院保存。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_GB2312">
    <w:altName w:val="仿宋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Wingdings 2">
    <w:altName w:val="Wingding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zllMmY2NmE4ZDIyMjU3OWRjYzJlMmU5NjFhMTllMTgifQ=="/>
  </w:docVars>
  <w:rsids>
    <w:rsidRoot w:val="002060E0"/>
    <w:rsid w:val="002060E0"/>
    <w:rsid w:val="00242EFD"/>
    <w:rsid w:val="005E49D1"/>
    <w:rsid w:val="00837B35"/>
    <w:rsid w:val="009F4138"/>
    <w:rsid w:val="00AF4667"/>
    <w:rsid w:val="00C26166"/>
    <w:rsid w:val="00D31054"/>
    <w:rsid w:val="00E00C8E"/>
    <w:rsid w:val="022F447C"/>
    <w:rsid w:val="18BE602D"/>
    <w:rsid w:val="1E1D592C"/>
    <w:rsid w:val="1F8A0C7F"/>
    <w:rsid w:val="296458D5"/>
    <w:rsid w:val="3B4A5509"/>
    <w:rsid w:val="413002AD"/>
    <w:rsid w:val="462E7BA0"/>
    <w:rsid w:val="46A711AE"/>
    <w:rsid w:val="50AA211B"/>
    <w:rsid w:val="537C1508"/>
    <w:rsid w:val="583F058A"/>
    <w:rsid w:val="6C19285A"/>
    <w:rsid w:val="740A1B63"/>
    <w:rsid w:val="74A716E7"/>
    <w:rsid w:val="7D4B7801"/>
    <w:rsid w:val="7ED117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4"/>
    <w:qFormat/>
    <w:uiPriority w:val="99"/>
    <w:rPr>
      <w:kern w:val="2"/>
      <w:sz w:val="18"/>
      <w:szCs w:val="18"/>
    </w:rPr>
  </w:style>
  <w:style w:type="character" w:customStyle="1" w:styleId="9">
    <w:name w:val="页脚 字符"/>
    <w:basedOn w:val="7"/>
    <w:link w:val="3"/>
    <w:qFormat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2780</Words>
  <Characters>3181</Characters>
  <Lines>12</Lines>
  <Paragraphs>3</Paragraphs>
  <TotalTime>2</TotalTime>
  <ScaleCrop>false</ScaleCrop>
  <LinksUpToDate>false</LinksUpToDate>
  <CharactersWithSpaces>3254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2021-05-25T13:07:00Z</dcterms:created>
  <dc:creator>刘 亚欣</dc:creator>
  <cp:lastModifiedBy>养乐多</cp:lastModifiedBy>
  <dcterms:modified xsi:type="dcterms:W3CDTF">2023-06-01T12:12:26Z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6A1C0CFFB4A24A2B810B3B8A10E0A286</vt:lpwstr>
  </property>
  <property fmtid="{D5CDD505-2E9C-101B-9397-08002B2CF9AE}" pid="5" name="KSOProductBuildVer">
    <vt:lpwstr>2052-11.1.0.14309</vt:lpwstr>
  </property>
</Properties>
</file>