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СӨЖ 8 — интернет-дүкен модулінің сапасын талдау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Тақырып: интернет-дүкен. Модуль үш негізгі функциядан тұрады: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line_total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— тауар құны,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discounted_total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— жеңілдіктен кейінгі сома,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shipping_cost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— жеткізу құны. Барлық ақша мәндері бүтін теңгемен беріледі. Жеткізу жеңілдіктен кейінгі сома </w:t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кемінде 10000 теңге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болғанда тегін, қалған жағдайда 1000 теңге. Жеңілдіктен кейінгі сома төмен қарай бүтінге дөңгелектенеді.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1. Алдымен бастапқы нұсқа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hyperlink r:id="rId9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01_buggy.py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файлын жоба түбірінен орындаңыз: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1-скриншотты қойыңыз: 01_buggy.py файлындағы үш функцияның бастапқы коды. Осы жерге 2-скриншотты қойыңыз: терминалдағы 2003, −190000, 1000 нәтижелері.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Нәтиже: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2003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-190000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1000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. Бұл мәндер талапқа сәйкес емес.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2. Содан кейін түзетілген нұсқа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hyperlink r:id="rId10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02_fixed.py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файлында есептеулер түзетіліп, кіріс мәндерінің тексерістері және барлық үш функцияға параметр мен қайтарым типтері енгізілген.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3-скриншотты қойыңыз: 02_fixed.py файлындағы түзетілген код, типтік аннотациялар және кіріс мәндерін тексеру шарттары. Осы жерге 4-скриншотты қойыңыз: 6000, 8000, 0 нәтижелері.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Сол кіріс мәндері үшін дұрыс нәтиже: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6000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8000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0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3. Ruff, mypy және pytest арқылы тексеру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Жобадағы дайын виртуалды ортаға тәуелділіктерді орнату: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5-скриншотты қойыңыз: requirements-dev.txt файлындағы Ruff, mypy, pytest нұсқалары және орнату нәтижесі.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Бастапқы кодты тексеру (екі команда да анықталған қателерге байланысты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1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кодын береді):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6-скриншотты қойыңыз: бастапқы кодтың Ruff тексерісіндегі F401 қатесі. Осы жерге 7-скриншотты қойыңыз: mypy анықтаған 5 диагностика, соның ішінде аннотациялардың жоқтығы және str/int сәйкессіздігі.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Түзетілген кодты және тесттерді тексеру: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Осы жерге 8-скриншотты қойыңыз: түзетілген кодтың Ruff нәтижесі — All checks passed! Осы жерге 9-скриншотты қойыңыз: mypy нәтижесі — Success: no issues found in 1 source file. Осы жерге 10-скриншотты қойыңыз: test_shop.py файлындағы негізгі тесттер және pytest нәтижесі — 19 passed.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mypy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strict = true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режимінде жұмыс істейді. Ruff түзетілген модуль мен тесттерді, mypy түзетілген модульді тексереді. Құралдардың нақты нұсқалары, командалары, шығару мәтіні және шығу кодтары </w:t>
      </w:r>
      <w:hyperlink r:id="rId11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analysis_results.md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ішінде.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4. Қысқаша есеп: мәселелер, себептер және түзетулер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1871"/>
        <w:gridCol w:w="2665"/>
        <w:gridCol w:w="2494"/>
        <w:gridCol w:w="2330"/>
      </w:tblGrid>
      <w:tr>
        <w:trPr>
          <w:cantSplit/>
          <w:tblHeader/>
        </w:trPr>
        <w:tc>
          <w:tcPr>
            <w:tcW w:type="dxa" w:w="1871"/>
            <w:vAlign w:val="top"/>
            <w:shd w:fill="0E2841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FFFFFF"/>
                <w:sz w:val="24"/>
                <w:u w:val="none"/>
              </w:rPr>
              <w:t>Мәселе</w:t>
            </w:r>
          </w:p>
        </w:tc>
        <w:tc>
          <w:tcPr>
            <w:tcW w:type="dxa" w:w="2665"/>
            <w:vAlign w:val="top"/>
            <w:shd w:fill="0E2841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FFFFFF"/>
                <w:sz w:val="24"/>
                <w:u w:val="none"/>
              </w:rPr>
              <w:t>Анықтау тәсілі және түпкі себеп</w:t>
            </w:r>
          </w:p>
        </w:tc>
        <w:tc>
          <w:tcPr>
            <w:tcW w:type="dxa" w:w="2494"/>
            <w:vAlign w:val="top"/>
            <w:shd w:fill="0E2841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FFFFFF"/>
                <w:sz w:val="24"/>
                <w:u w:val="none"/>
              </w:rPr>
              <w:t>Түзету</w:t>
            </w:r>
          </w:p>
        </w:tc>
        <w:tc>
          <w:tcPr>
            <w:tcW w:type="dxa" w:w="2330"/>
            <w:vAlign w:val="top"/>
            <w:shd w:fill="0E2841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FFFFFF"/>
                <w:sz w:val="24"/>
                <w:u w:val="none"/>
              </w:rPr>
              <w:t>Дұрыстығын дәлелдеу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Қолданылмаған импорт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Ruff: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F401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math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еш жерде қолданылмайды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Импорт жойылды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Ruff: 0 қате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Типтік аннотациялар жоқ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mypy strict: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no-untyped-def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, функция келісімшарты анық емес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Параметрлер мен қайтарымға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int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енгізілді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mypy: 0 қате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Жеткізу құнының типі қате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mypy: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return-value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int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орнына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str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қайтарылады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"0"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орнына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0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test_shipping_boundary_and_type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типті де тексереді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Тауар құны қате есептеледі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Логикалық тексеру: баға мен сан қосылған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price * quantity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2000 × 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2003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6000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Жеңілдік қате есептеледі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Логикалық тексеру: пайыз жүздік үлеске айналмаған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subtotal * (100 - percent) // 100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10000 теңге, 20%: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-190000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→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8000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Тегін жеткізу шекарасы қате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Шекаралық тест: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&gt;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шарты 10000 теңгені қоспайды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&gt;= 10000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9999 → 1000, 10000 → 0, 10001 → 0</w:t>
            </w:r>
          </w:p>
        </w:tc>
      </w:tr>
      <w:tr>
        <w:trPr>
          <w:cantSplit/>
        </w:trPr>
        <w:tc>
          <w:tcPr>
            <w:tcW w:type="dxa" w:w="1871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Жарамсыз кіріс қабылданады</w:t>
            </w:r>
          </w:p>
        </w:tc>
        <w:tc>
          <w:tcPr>
            <w:tcW w:type="dxa" w:w="2665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Кодты қарау: теріс баға, нөлдік сан, қате пайыз тексерілмейді</w:t>
            </w:r>
          </w:p>
        </w:tc>
        <w:tc>
          <w:tcPr>
            <w:tcW w:type="dxa" w:w="2494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ValueError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 xml:space="preserve"> арқылы тексеру қосылды</w:t>
            </w:r>
          </w:p>
        </w:tc>
        <w:tc>
          <w:tcPr>
            <w:tcW w:type="dxa" w:w="2330"/>
            <w:vAlign w:val="top"/>
            <w:shd w:fill="FFFFFF"/>
          </w:tcPr>
          <w:p>
            <w:pPr>
              <w:keepNext w:val="0"/>
              <w:widowControl/>
              <w:spacing w:before="0" w:after="0" w:line="240" w:lineRule="auto"/>
              <w:ind w:firstLine="0" w:left="0" w:right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u w:val="none"/>
              </w:rPr>
              <w:t>Жарамсыз кірістерге арналған pytest тесттері</w:t>
            </w:r>
          </w:p>
        </w:tc>
      </w:tr>
    </w:tbl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Ruff пен mypy бизнес-логиканың барлық қатесін анықтамайды. Сондықтан есептеу және жеткізу шекарасы күтілетін нақты нәтижелермен салыстырылатын тесттермен тексерілді. Бастапқы нұсқада Ruff </w:t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1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, mypy </w:t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5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диагностика шығарды; mypy нәтижесінде аннотациясыз функцияларды шақыру туралы екі қосымша хабарлама да бар.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5. Бір функцияға Code Review чек-листі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Қаралған функция: түзетілген </w:t>
      </w:r>
      <w:hyperlink r:id="rId10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02_fixed.py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ішіндегі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discounted_total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. Бұл — тапсырма аясындағы өзіндік код шолуы.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[x] Мақсаты мен атауы түсінікті: жеңілдіктен кейінгі соманы қайтарады.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[x] Параметрлер мен қайтарым типтері көрсетілген: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int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[x] Теріс сома және 0–100 аралығынан тыс пайыз қабылданбайды.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[x] Формула талапқа сай: 10000 теңгеге 20% жеңілдік → 8000 теңге.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[x] 0% және 100% шекаралары тексерілген.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[x] Дөңгелектеу ережесі құжатталған: 101 теңгеге 50% → 50 теңге.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[x] Функция кіріс мәндерін өзгертпейді, файлға не желіге жүгінбейді.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[x] Түсінікті қазақша қате хабарламалары бар.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[x] Ruff және mypy тексерістері өтті, негізгі жағдайлар pytest арқылы қамтылған.</w:t>
      </w:r>
    </w:p>
    <w:p>
      <w:pPr>
        <w:pStyle w:val="Heading1"/>
        <w:keepNext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6. Тест нәтижелері және қорытынды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hyperlink r:id="rId12">
        <w:r>
          <w:rPr>
            <w:rFonts w:ascii="Times New Roman" w:hAnsi="Times New Roman" w:eastAsia="Times New Roman" w:cs="Times New Roman"/>
            <w:b w:val="0"/>
            <w:color w:val="000000"/>
            <w:sz w:val="28"/>
            <w:u w:val="single"/>
          </w:rPr>
          <w:t>test_shop.py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 xml:space="preserve"> ішіндегі параметрленген тесттермен бірге </w:t>
      </w: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19 тексеру өтті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. Бір тест бастапқы төрт ақауды қайталайды; қалған 18 тексеру түзетілген үш функцияны, шекаралық мәндерді, жарамсыз кірістерді және толық тапсырыс сценарийін тексереді. Бастапқы ақауларды дәлелдейтін тесттің өтуі қате кодтың дұрыс екенін білдірмейді.</w:t>
      </w:r>
    </w:p>
    <w:p>
      <w:pPr>
        <w:keepNext w:val="0"/>
        <w:widowControl/>
        <w:spacing w:before="0" w:after="0" w:line="240" w:lineRule="auto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</w:rPr>
        <w:t>Нәтиже: түзетілген кодта Ruff қатесі жоқ, mypy тип қатесін таппады, pytest тексерулерінің барлығы өтті. Статикалық талдау, код шолуы және тесттер бірге есептеу, тип және кіріс мәндерін тексеру мәселелерін анықтап, түзетуді негіздеді.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before="0" w:after="0" w:line="240" w:lineRule="auto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 w:before="0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 w:before="0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pageBreakBefore w:val="0"/>
      <w:spacing w:before="0" w:after="0" w:line="240" w:lineRule="auto"/>
      <w:ind w:firstLine="709" w:left="0" w:right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pageBreakBefore w:val="0"/>
      <w:spacing w:after="0" w:line="240" w:lineRule="auto" w:before="0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pBdr>
        <w:bottom w:val="single" w:sz="8" w:space="4" w:color="4F81BD" w:themeColor="accent1"/>
      </w:pBdr>
      <w:spacing w:after="0" w:line="240" w:lineRule="auto" w:before="0"/>
      <w:ind w:firstLine="709" w:left="0" w:right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numPr>
        <w:ilvl w:val="1"/>
      </w:numPr>
      <w:spacing w:before="0" w:after="0" w:line="240" w:lineRule="auto"/>
      <w:ind w:firstLine="709" w:left="0" w:right="0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pageBreakBefore w:val="0"/>
      <w:spacing w:before="0" w:after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pageBreakBefore w:val="0"/>
      <w:spacing w:after="0" w:before="0" w:line="240" w:lineRule="auto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pageBreakBefore w:val="0"/>
      <w:spacing w:after="0" w:line="240" w:lineRule="auto" w:before="0"/>
      <w:ind w:firstLine="709" w:left="0" w:right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pageBreakBefore w:val="0"/>
      <w:spacing w:after="0" w:before="0" w:line="240" w:lineRule="auto"/>
      <w:ind w:firstLine="709" w:left="0" w:right="0"/>
    </w:pPr>
    <w:rPr>
      <w:rFonts w:ascii="Times New Roman" w:hAnsi="Times New Roman" w:eastAsia="Times New Roman" w:cs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pageBreakBefore w:val="0"/>
      <w:spacing w:before="0" w:after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pageBreakBefore w:val="0"/>
      <w:spacing w:before="0" w:after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pageBreakBefore w:val="0"/>
      <w:spacing w:before="0" w:after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pageBreakBefore w:val="0"/>
      <w:numPr>
        <w:numId w:val="1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pageBreakBefore w:val="0"/>
      <w:numPr>
        <w:numId w:val="2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pageBreakBefore w:val="0"/>
      <w:numPr>
        <w:numId w:val="3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pageBreakBefore w:val="0"/>
      <w:numPr>
        <w:numId w:val="5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pageBreakBefore w:val="0"/>
      <w:numPr>
        <w:numId w:val="6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pageBreakBefore w:val="0"/>
      <w:numPr>
        <w:numId w:val="7"/>
      </w:numPr>
      <w:spacing w:before="0" w:after="0" w:line="240" w:lineRule="auto"/>
      <w:ind w:firstLine="709" w:left="0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pageBreakBefore w:val="0"/>
      <w:spacing w:after="0" w:before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pageBreakBefore w:val="0"/>
      <w:spacing w:after="0" w:before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pageBreakBefore w:val="0"/>
      <w:spacing w:after="0" w:before="0" w:line="240" w:lineRule="auto"/>
      <w:ind w:left="0" w:firstLine="709" w:right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  <w:ind w:firstLine="709" w:left="0" w:right="0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ageBreakBefore w:val="0"/>
      <w:spacing w:before="0" w:after="0" w:line="240" w:lineRule="auto"/>
      <w:ind w:firstLine="709" w:left="0" w:right="0"/>
    </w:pPr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pageBreakBefore w:val="0"/>
      <w:spacing w:line="240" w:lineRule="auto" w:before="0" w:after="0"/>
      <w:ind w:firstLine="709" w:left="0" w:right="0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ageBreakBefore w:val="0"/>
      <w:pBdr>
        <w:bottom w:val="single" w:sz="4" w:space="4" w:color="4F81BD" w:themeColor="accent1"/>
      </w:pBdr>
      <w:spacing w:before="0" w:after="0" w:line="240" w:lineRule="auto"/>
      <w:ind w:left="0" w:right="0" w:firstLine="709"/>
    </w:pPr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 w:val="0"/>
      <w:spacing w:before="0" w:after="0" w:line="240" w:lineRule="auto"/>
      <w:ind w:firstLine="709" w:left="0" w:right="0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01_buggy.py" TargetMode="External"/><Relationship Id="rId10" Type="http://schemas.openxmlformats.org/officeDocument/2006/relationships/hyperlink" Target="02_fixed.py" TargetMode="External"/><Relationship Id="rId11" Type="http://schemas.openxmlformats.org/officeDocument/2006/relationships/hyperlink" Target="analysis_results.md" TargetMode="External"/><Relationship Id="rId12" Type="http://schemas.openxmlformats.org/officeDocument/2006/relationships/hyperlink" Target="test_sho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