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SaparTravel: Бизнес-кейс проекта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Проблема и целевая метрика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Сейчас обработка входящих запросов на туры требует ручной сверки предложения, дат, количества мест и статуса заявки. Это замедляет ответ клиенту и повышает риск перепродажи мест. SaparTravel автоматизирует каталог, выбор выезда и создание заявки, оставляя поставщику подтверждение.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Целевая метрика:</w:t>
      </w:r>
      <w:r w:rsidDel="00000000" w:rsidR="00000000" w:rsidRPr="00000000">
        <w:rPr>
          <w:rtl w:val="0"/>
        </w:rPr>
        <w:t xml:space="preserve"> за 3 месяца после запуска уменьшить среднее время обработки заявки с </w:t>
      </w:r>
      <w:r w:rsidDel="00000000" w:rsidR="00000000" w:rsidRPr="00000000">
        <w:rPr>
          <w:b w:val="1"/>
          <w:bCs w:val="1"/>
          <w:rtl w:val="0"/>
        </w:rPr>
        <w:t xml:space="preserve">30 до 8 минут</w:t>
      </w:r>
      <w:r w:rsidDel="00000000" w:rsidR="00000000" w:rsidRPr="00000000">
        <w:rPr>
          <w:rtl w:val="0"/>
        </w:rPr>
        <w:t xml:space="preserve">, а долю заявок, обработанных в течение рабочего дня, увеличить с </w:t>
      </w:r>
      <w:r w:rsidDel="00000000" w:rsidR="00000000" w:rsidRPr="00000000">
        <w:rPr>
          <w:b w:val="1"/>
          <w:bCs w:val="1"/>
          <w:rtl w:val="0"/>
        </w:rPr>
        <w:t xml:space="preserve">70% до 95%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Исходные данные и допущения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Показатель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Значение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Происхождение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Входящие заявки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60 в неделю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допущение для учебной модели; подтвердить журналом заказчика за 7 дней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Ручная обработка одной заявки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 мин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допущение; измерить хронометражем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Стоимость часа сотрудника с начислениями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USD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допущение; подтвердить у финансовой службы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Доля предотвращаемых ошибок и ручных уточнений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4 000 USD/год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допущение на основе оценки 2 инцидентов в месяц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Дополнительный вклад от конверсии каталога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6 000 USD/год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допущение; подтвердить аналитикой после пилота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Горизонт расчёта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 года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согласовано как учебное допущение до расчёта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Ставка дисконтирования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допущение при отсутствии ставки заказчика</w:t>
            </w:r>
          </w:p>
        </w:tc>
      </w:tr>
    </w:tbl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Текущая стоимость ручной работы: 60 × 52 × 0,5 × 10 = 15 600 USD/год. Ожидаемый годовой эффект после запуска: 15 600 × 75% + 4 000 + 6 000 = 21 700 USD/год.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Варианты решения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Вариант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Денежный результат за 3 года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Ничего не делать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Сохраняется ручная обработка и текущие потери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58 800 USD затрат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Отклонить: не достигает целевой метрики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 Купить готовое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SaaS для бронирований, настройка и подписка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52 800 USD TCO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Отклонить: зависимость от поставщика и слабая адаптация под роли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3. Разработать на закрытом стеке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Собственная система на коммерческих лицензиях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61 000 USD TCO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Отклонить: дороже открытого стека при той же ценности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4. Разработать на открытом стеке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FastAPI, React, PostgreSQL, Docker и собственный API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46 000 USD TCO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Выбрать для MVP</w:t>
            </w:r>
          </w:p>
        </w:tc>
      </w:tr>
    </w:tbl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Вариант «ничего не делать» посчитан: 21 700 USD потенциального эффекта в год не реализуется, поэтому за 3 года сохраняется 21 700 × 3 = 65 100 USD упущенной возможности. Для консервативного сравнения TCO в таблице принят только наблюдаемый текущий расход 19 600 × 3 = 58 800 USD (15 600 ручной работы + 4 000 ошибок).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TCO выбранного варианта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Статья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Год 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Год 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Год 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Год 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Итого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Разработка и настройка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18 000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18 000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Миграция данных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1 500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Обучение пользователей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Поддержка и исправления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6 000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6 000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6 000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18 000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Инфраструктура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2 400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2 400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2 400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7 200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Вывод старого решения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20 300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8 900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8 400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8 400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46 000</w:t>
            </w:r>
          </w:p>
        </w:tc>
      </w:tr>
    </w:tbl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Отдельная колонка открытого стека: лицензии приложения, БД и контейнеризации равны 0 USD; в TCO всё равно включены инфраструктура, поддержка, миграция и обучение. Это не означает отсутствие трудозатрат.</w:t>
      </w:r>
    </w:p>
    <w:p w:rsidR="00000000" w:rsidDel="00000000" w:rsidP="00000000" w:rsidRDefault="00000000" w:rsidRPr="00000000" w14:paraId="0000006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Финансовые показатели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Годовые чистые потоки: год 0 -20 300, год 1 21 700 - 8 900 = 12 800, годы 2–3 по 21 700 - 8 400 = 13 300.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ROI за 3 года:</w:t>
      </w:r>
      <w:r w:rsidDel="00000000" w:rsidR="00000000" w:rsidRPr="00000000">
        <w:rPr>
          <w:rtl w:val="0"/>
        </w:rPr>
        <w:t xml:space="preserve"> (65 100 - 46 000) / 46 000 = 41,5%.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NPV за 3 года при 15%:</w:t>
      </w:r>
      <w:r w:rsidDel="00000000" w:rsidR="00000000" w:rsidRPr="00000000">
        <w:rPr>
          <w:rtl w:val="0"/>
        </w:rPr>
        <w:t xml:space="preserve"> -20 300 + 12 800/1,15 + 13 300/1,15² + 13 300/1,15³ = 9 632 USD.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Простой срок окупаемости:</w:t>
      </w:r>
      <w:r w:rsidDel="00000000" w:rsidR="00000000" w:rsidRPr="00000000">
        <w:rPr>
          <w:rtl w:val="0"/>
        </w:rPr>
        <w:t xml:space="preserve"> 1 + (20 300 - 12 800) / 13 300 = 1,56 года.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Стоимость задержки:</w:t>
      </w:r>
      <w:r w:rsidDel="00000000" w:rsidR="00000000" w:rsidRPr="00000000">
        <w:rPr>
          <w:rtl w:val="0"/>
        </w:rPr>
        <w:t xml:space="preserve"> 21 700 / 12 = 1 808 USD в месяц.</w:t>
      </w:r>
    </w:p>
    <w:p w:rsidR="00000000" w:rsidDel="00000000" w:rsidP="00000000" w:rsidRDefault="00000000" w:rsidRPr="00000000" w14:paraId="0000006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Чувствительность и безубыточность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Сценарий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Эффект за 3 года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TCO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Базовый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65 100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46 000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41,5%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Затраты выше на 30%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65 100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59 800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8,9%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Эффект достигнут наполовину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32 550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46 000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-29,2%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Оба фактора одновременно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32 550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59 800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-45,6%</w:t>
            </w:r>
          </w:p>
        </w:tc>
      </w:tr>
    </w:tbl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Точка безубыточности по эффекту: 46 000 / 3 = 15 333 USD/год, то есть достаточно реализовать примерно </w:t>
      </w:r>
      <w:r w:rsidDel="00000000" w:rsidR="00000000" w:rsidRPr="00000000">
        <w:rPr>
          <w:b w:val="1"/>
          <w:bCs w:val="1"/>
          <w:rtl w:val="0"/>
        </w:rPr>
        <w:t xml:space="preserve">70,7%</w:t>
      </w:r>
      <w:r w:rsidDel="00000000" w:rsidR="00000000" w:rsidRPr="00000000">
        <w:rPr>
          <w:rtl w:val="0"/>
        </w:rPr>
        <w:t xml:space="preserve"> от базового эффекта 21 700 USD/год. При снижении эффекта ниже этой границы проект нужно пересмотреть по объёму.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