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 w:val="0"/>
          <w:i/>
          <w:color w:val="2E75B6"/>
          <w:sz w:val="20"/>
        </w:rPr>
        <w:t>2026 AI-First - CS423/CSC15003 Software Testing - Seminar Track</w:t>
      </w:r>
    </w:p>
    <w:p>
      <w:pPr>
        <w:jc w:val="center"/>
      </w:pPr>
      <w:r>
        <w:rPr>
          <w:rFonts w:ascii="Arial" w:hAnsi="Arial"/>
          <w:b/>
          <w:color w:val="1F4E79"/>
          <w:sz w:val="44"/>
        </w:rPr>
        <w:t>T02 - Web Automation Testing</w:t>
      </w:r>
    </w:p>
    <w:p>
      <w:pPr>
        <w:jc w:val="center"/>
      </w:pPr>
      <w:r>
        <w:rPr>
          <w:rFonts w:ascii="Arial" w:hAnsi="Arial"/>
          <w:b w:val="0"/>
          <w:i/>
          <w:color w:val="2E75B6"/>
          <w:sz w:val="24"/>
        </w:rPr>
        <w:t>End-to-end browser tests at speed — and the AI tools that promise to write them for you.</w:t>
      </w:r>
    </w:p>
    <w:p/>
    <w:p>
      <w:r>
        <w:rPr>
          <w:rFonts w:ascii="Arial" w:hAnsi="Arial"/>
          <w:b/>
          <w:color w:val="1F4E79"/>
          <w:sz w:val="32"/>
        </w:rPr>
        <w:t>1. Overview</w:t>
      </w:r>
    </w:p>
    <w:p>
      <w:r>
        <w:rPr>
          <w:rFonts w:ascii="Arial" w:hAnsi="Arial"/>
          <w:b w:val="0"/>
          <w:i w:val="0"/>
          <w:color w:val="202020"/>
          <w:sz w:val="22"/>
        </w:rPr>
        <w:t>Web automation is the most common test-automation activity in industry. You will compare two traditional frameworks (Playwright and Cypress) with the AI-augmented direction taken by tools such as Mabl, Testim, and GitHub Copilot. EShop has 22 functional requirements — many touch the browser. Pick three flows to automate and measure not just whether the tests pass, but how maintainable and flake-resistant they are.</w:t>
      </w:r>
    </w:p>
    <w:p>
      <w:r>
        <w:rPr>
          <w:rFonts w:ascii="Arial" w:hAnsi="Arial"/>
          <w:b/>
          <w:color w:val="1F4E79"/>
          <w:sz w:val="32"/>
        </w:rPr>
        <w:t>2. Learning Objectives</w:t>
      </w:r>
    </w:p>
    <w:p>
      <w:r>
        <w:rPr>
          <w:rFonts w:ascii="Arial" w:hAnsi="Arial"/>
          <w:b w:val="0"/>
          <w:i w:val="0"/>
          <w:color w:val="202020"/>
          <w:sz w:val="22"/>
        </w:rPr>
        <w:t>By the end of this seminar each team member must be able to: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Install Playwright and run a parameterised test against the EShop frontend.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Add a 'self-healing locator' experiment using Testim trial OR a Copilot-suggested locator strategy.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Measure first-run vs 10th-run flakiness on a network-throttled environment.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Discuss the maintenance cost of AI-generated tests vs hand-written ones over 4–6 weeks.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Frame a recommendation memo for an EShop dev team choosing an automation strategy.</w:t>
      </w:r>
    </w:p>
    <w:p>
      <w:r>
        <w:rPr>
          <w:rFonts w:ascii="Arial" w:hAnsi="Arial"/>
          <w:b/>
          <w:color w:val="1F4E79"/>
          <w:sz w:val="32"/>
        </w:rPr>
        <w:t>3. Traditional Tools - pick one as your main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468"/>
            <w:shd w:val="clear" w:color="auto" w:fill="FFF2CC"/>
            <w:vAlign w:val="center"/>
          </w:tcPr>
          <w:p>
            <w:r>
              <w:rPr>
                <w:rFonts w:ascii="Arial" w:hAnsi="Arial"/>
                <w:b/>
                <w:color w:val="BF6000"/>
                <w:sz w:val="22"/>
              </w:rPr>
              <w:t>Note - the tools listed below are SUGGESTIONS only.</w:t>
            </w:r>
          </w:p>
          <w:p>
            <w:r>
              <w:rPr>
                <w:rFonts w:ascii="Arial" w:hAnsi="Arial"/>
                <w:color w:val="202020"/>
                <w:sz w:val="21"/>
              </w:rPr>
              <w:t>The final tool selection is decided JOINTLY by the team and the supervising instructor at Stage S2 (Instructor Review). Teams may add, replace, or drop any tool from this list - provided the choice is justified in the Stage S1 proposal and approved before Stage S3 begins.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  <w:shd w:val="clear" w:color="auto" w:fill="1F4E79"/>
            <w:vAlign w:val="center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Tool</w:t>
            </w:r>
          </w:p>
        </w:tc>
        <w:tc>
          <w:tcPr>
            <w:tcW w:type="dxa" w:w="7087"/>
            <w:shd w:val="clear" w:color="auto" w:fill="1F4E79"/>
            <w:vAlign w:val="center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Why study it</w:t>
            </w:r>
          </w:p>
        </w:tc>
      </w:tr>
      <w:tr>
        <w:tc>
          <w:tcPr>
            <w:tcW w:type="dxa" w:w="2381"/>
          </w:tcPr>
          <w:p>
            <w:r>
              <w:rPr>
                <w:rFonts w:ascii="Arial" w:hAnsi="Arial"/>
                <w:b/>
                <w:color w:val="1F4E79"/>
                <w:sz w:val="22"/>
              </w:rPr>
              <w:t>Playwright</w:t>
            </w:r>
          </w:p>
        </w:tc>
        <w:tc>
          <w:tcPr>
            <w:tcW w:type="dxa" w:w="7087"/>
          </w:tcPr>
          <w:p>
            <w:r>
              <w:rPr>
                <w:rFonts w:ascii="Arial" w:hAnsi="Arial"/>
                <w:color w:val="202020"/>
                <w:sz w:val="21"/>
              </w:rPr>
              <w:t>Microsoft-backed, multi-browser, codegen, trace-viewer; great default.</w:t>
            </w:r>
          </w:p>
        </w:tc>
      </w:tr>
      <w:tr>
        <w:tc>
          <w:tcPr>
            <w:tcW w:type="dxa" w:w="2381"/>
          </w:tcPr>
          <w:p>
            <w:r>
              <w:rPr>
                <w:rFonts w:ascii="Arial" w:hAnsi="Arial"/>
                <w:b/>
                <w:color w:val="1F4E79"/>
                <w:sz w:val="22"/>
              </w:rPr>
              <w:t>Selenium 4</w:t>
            </w:r>
          </w:p>
        </w:tc>
        <w:tc>
          <w:tcPr>
            <w:tcW w:type="dxa" w:w="7087"/>
          </w:tcPr>
          <w:p>
            <w:r>
              <w:rPr>
                <w:rFonts w:ascii="Arial" w:hAnsi="Arial"/>
                <w:color w:val="202020"/>
                <w:sz w:val="21"/>
              </w:rPr>
              <w:t>Industry standard; W3C WebDriver; widest ecosystem.</w:t>
            </w:r>
          </w:p>
        </w:tc>
      </w:tr>
      <w:tr>
        <w:tc>
          <w:tcPr>
            <w:tcW w:type="dxa" w:w="2381"/>
          </w:tcPr>
          <w:p>
            <w:r>
              <w:rPr>
                <w:rFonts w:ascii="Arial" w:hAnsi="Arial"/>
                <w:b/>
                <w:color w:val="1F4E79"/>
                <w:sz w:val="22"/>
              </w:rPr>
              <w:t>Cypress</w:t>
            </w:r>
          </w:p>
        </w:tc>
        <w:tc>
          <w:tcPr>
            <w:tcW w:type="dxa" w:w="7087"/>
          </w:tcPr>
          <w:p>
            <w:r>
              <w:rPr>
                <w:rFonts w:ascii="Arial" w:hAnsi="Arial"/>
                <w:color w:val="202020"/>
                <w:sz w:val="21"/>
              </w:rPr>
              <w:t>DX-friendly, time-travel debugger; chrome-family focus.</w:t>
            </w:r>
          </w:p>
        </w:tc>
      </w:tr>
    </w:tbl>
    <w:p/>
    <w:p>
      <w:r>
        <w:rPr>
          <w:rFonts w:ascii="Arial" w:hAnsi="Arial"/>
          <w:b/>
          <w:color w:val="1F4E79"/>
          <w:sz w:val="32"/>
        </w:rPr>
        <w:t>4. AI-Augmented Direction - pick at least one</w:t>
      </w:r>
    </w:p>
    <w:p>
      <w:r>
        <w:rPr>
          <w:rFonts w:ascii="Arial" w:hAnsi="Arial"/>
          <w:b w:val="0"/>
          <w:i/>
          <w:color w:val="202020"/>
          <w:sz w:val="22"/>
        </w:rPr>
        <w:t>Demonstrating an AI angle is mandatory. The Department does not provide paid AI accounts; free tiers and student trials are allowed.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468"/>
            <w:shd w:val="clear" w:color="auto" w:fill="FFF2CC"/>
            <w:vAlign w:val="center"/>
          </w:tcPr>
          <w:p>
            <w:r>
              <w:rPr>
                <w:rFonts w:ascii="Arial" w:hAnsi="Arial"/>
                <w:b/>
                <w:color w:val="BF6000"/>
                <w:sz w:val="22"/>
              </w:rPr>
              <w:t>Note - the tools listed below are SUGGESTIONS only.</w:t>
            </w:r>
          </w:p>
          <w:p>
            <w:r>
              <w:rPr>
                <w:rFonts w:ascii="Arial" w:hAnsi="Arial"/>
                <w:color w:val="202020"/>
                <w:sz w:val="21"/>
              </w:rPr>
              <w:t>The final tool selection is decided JOINTLY by the team and the supervising instructor at Stage S2 (Instructor Review). Teams may add, replace, or drop any tool from this list - provided the choice is justified in the Stage S1 proposal and approved before Stage S3 begins.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  <w:shd w:val="clear" w:color="auto" w:fill="C00000"/>
            <w:vAlign w:val="center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Tool</w:t>
            </w:r>
          </w:p>
        </w:tc>
        <w:tc>
          <w:tcPr>
            <w:tcW w:type="dxa" w:w="7087"/>
            <w:shd w:val="clear" w:color="auto" w:fill="C00000"/>
            <w:vAlign w:val="center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Why study it</w:t>
            </w:r>
          </w:p>
        </w:tc>
      </w:tr>
      <w:tr>
        <w:tc>
          <w:tcPr>
            <w:tcW w:type="dxa" w:w="2381"/>
          </w:tcPr>
          <w:p>
            <w:r>
              <w:rPr>
                <w:rFonts w:ascii="Arial" w:hAnsi="Arial"/>
                <w:b/>
                <w:color w:val="C00000"/>
                <w:sz w:val="22"/>
              </w:rPr>
              <w:t>Mabl (free tier)</w:t>
            </w:r>
          </w:p>
        </w:tc>
        <w:tc>
          <w:tcPr>
            <w:tcW w:type="dxa" w:w="7087"/>
          </w:tcPr>
          <w:p>
            <w:r>
              <w:rPr>
                <w:rFonts w:ascii="Arial" w:hAnsi="Arial"/>
                <w:color w:val="202020"/>
                <w:sz w:val="21"/>
              </w:rPr>
              <w:t>Auto-healing selectors + visual diff on EShop login flow.</w:t>
            </w:r>
          </w:p>
        </w:tc>
      </w:tr>
      <w:tr>
        <w:tc>
          <w:tcPr>
            <w:tcW w:type="dxa" w:w="2381"/>
          </w:tcPr>
          <w:p>
            <w:r>
              <w:rPr>
                <w:rFonts w:ascii="Arial" w:hAnsi="Arial"/>
                <w:b/>
                <w:color w:val="C00000"/>
                <w:sz w:val="22"/>
              </w:rPr>
              <w:t>Testim AI</w:t>
            </w:r>
          </w:p>
        </w:tc>
        <w:tc>
          <w:tcPr>
            <w:tcW w:type="dxa" w:w="7087"/>
          </w:tcPr>
          <w:p>
            <w:r>
              <w:rPr>
                <w:rFonts w:ascii="Arial" w:hAnsi="Arial"/>
                <w:color w:val="202020"/>
                <w:sz w:val="21"/>
              </w:rPr>
              <w:t>Locator stabilisation via attribute-weight model.</w:t>
            </w:r>
          </w:p>
        </w:tc>
      </w:tr>
      <w:tr>
        <w:tc>
          <w:tcPr>
            <w:tcW w:type="dxa" w:w="2381"/>
          </w:tcPr>
          <w:p>
            <w:r>
              <w:rPr>
                <w:rFonts w:ascii="Arial" w:hAnsi="Arial"/>
                <w:b/>
                <w:color w:val="C00000"/>
                <w:sz w:val="22"/>
              </w:rPr>
              <w:t>GitHub Copilot / Cursor</w:t>
            </w:r>
          </w:p>
        </w:tc>
        <w:tc>
          <w:tcPr>
            <w:tcW w:type="dxa" w:w="7087"/>
          </w:tcPr>
          <w:p>
            <w:r>
              <w:rPr>
                <w:rFonts w:ascii="Arial" w:hAnsi="Arial"/>
                <w:color w:val="202020"/>
                <w:sz w:val="21"/>
              </w:rPr>
              <w:t>Generate test scripts from a natural-language scenario — then audit, run, and refactor.</w:t>
            </w:r>
          </w:p>
        </w:tc>
      </w:tr>
    </w:tbl>
    <w:p/>
    <w:p>
      <w:r>
        <w:rPr>
          <w:rFonts w:ascii="Arial" w:hAnsi="Arial"/>
          <w:b/>
          <w:color w:val="1F4E79"/>
          <w:sz w:val="32"/>
        </w:rPr>
        <w:t>5. Reading List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Playwright docs — Best Practices.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Bach, J. — 'Test Automation Snake-Oil' (1999) — re-read after AI hype.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Mabl blog — 'Self-healing tests: what they really do' (technical post).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Selenium 4 release notes — relative locators.</w:t>
      </w:r>
    </w:p>
    <w:p>
      <w:r>
        <w:rPr>
          <w:rFonts w:ascii="Arial" w:hAnsi="Arial"/>
          <w:b/>
          <w:color w:val="1F4E79"/>
          <w:sz w:val="32"/>
        </w:rPr>
        <w:t>6. Study Milestones (Stage S3 internal checklist)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1. Set up Playwright + npm; verify with the EShop login spec from FR-02.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2. Cover three flows: Login + lockout (FR-02), Add-to-Cart (FR-07), Checkout (FR-08).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3. Capture flakiness metrics over 10 runs; investigate one flake.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4. Re-write one flow using an AI tool; compare locator strategies side-by-side.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5. Diff the AI-generated assertions against your hand-written ones — note false negatives.</w:t>
      </w:r>
    </w:p>
    <w:p>
      <w:r>
        <w:rPr>
          <w:rFonts w:ascii="Arial" w:hAnsi="Arial"/>
          <w:b/>
          <w:color w:val="1F4E79"/>
          <w:sz w:val="32"/>
        </w:rPr>
        <w:t>7. In-class Activity - for the audience teams</w:t>
      </w:r>
    </w:p>
    <w:p>
      <w:r>
        <w:rPr>
          <w:rFonts w:ascii="Arial" w:hAnsi="Arial"/>
          <w:b/>
          <w:i w:val="0"/>
          <w:color w:val="202020"/>
          <w:sz w:val="22"/>
        </w:rPr>
        <w:t>Title: Locator Brawl — Hand-crafted vs AI-suggested</w:t>
      </w:r>
    </w:p>
    <w:p>
      <w:r>
        <w:rPr>
          <w:rFonts w:ascii="Arial" w:hAnsi="Arial"/>
          <w:b w:val="0"/>
          <w:i w:val="0"/>
          <w:color w:val="202020"/>
          <w:sz w:val="22"/>
        </w:rPr>
        <w:t>Audience teams race to write the same Add-to-Cart test two ways and compare results.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  <w:shd w:val="clear" w:color="auto" w:fill="2E75B6"/>
            <w:vAlign w:val="center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Time</w:t>
            </w:r>
          </w:p>
        </w:tc>
        <w:tc>
          <w:tcPr>
            <w:tcW w:type="dxa" w:w="7483"/>
            <w:shd w:val="clear" w:color="auto" w:fill="2E75B6"/>
            <w:vAlign w:val="center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Step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/>
                <w:b/>
                <w:color w:val="1F4E79"/>
                <w:sz w:val="22"/>
              </w:rPr>
              <w:t>0:00–0:03</w:t>
            </w:r>
          </w:p>
        </w:tc>
        <w:tc>
          <w:tcPr>
            <w:tcW w:type="dxa" w:w="7483"/>
          </w:tcPr>
          <w:p>
            <w:r>
              <w:rPr>
                <w:rFonts w:ascii="Arial" w:hAnsi="Arial"/>
                <w:color w:val="202020"/>
                <w:sz w:val="22"/>
              </w:rPr>
              <w:t>Facilitator demos the target flow on EShop (login → add to cart → assert badge).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/>
                <w:b/>
                <w:color w:val="1F4E79"/>
                <w:sz w:val="22"/>
              </w:rPr>
              <w:t>0:03–0:10</w:t>
            </w:r>
          </w:p>
        </w:tc>
        <w:tc>
          <w:tcPr>
            <w:tcW w:type="dxa" w:w="7483"/>
          </w:tcPr>
          <w:p>
            <w:r>
              <w:rPr>
                <w:rFonts w:ascii="Arial" w:hAnsi="Arial"/>
                <w:color w:val="202020"/>
                <w:sz w:val="22"/>
              </w:rPr>
              <w:t>Team A writes the test by hand in Playwright; Team B uses Copilot/Claude.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/>
                <w:b/>
                <w:color w:val="1F4E79"/>
                <w:sz w:val="22"/>
              </w:rPr>
              <w:t>0:10–0:15</w:t>
            </w:r>
          </w:p>
        </w:tc>
        <w:tc>
          <w:tcPr>
            <w:tcW w:type="dxa" w:w="7483"/>
          </w:tcPr>
          <w:p>
            <w:r>
              <w:rPr>
                <w:rFonts w:ascii="Arial" w:hAnsi="Arial"/>
                <w:color w:val="202020"/>
                <w:sz w:val="22"/>
              </w:rPr>
              <w:t>Each team runs the test 3 times on a slow network and records failures.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/>
                <w:b/>
                <w:color w:val="1F4E79"/>
                <w:sz w:val="22"/>
              </w:rPr>
              <w:t>0:15–0:20</w:t>
            </w:r>
          </w:p>
        </w:tc>
        <w:tc>
          <w:tcPr>
            <w:tcW w:type="dxa" w:w="7483"/>
          </w:tcPr>
          <w:p>
            <w:r>
              <w:rPr>
                <w:rFonts w:ascii="Arial" w:hAnsi="Arial"/>
                <w:color w:val="202020"/>
                <w:sz w:val="22"/>
              </w:rPr>
              <w:t>Teams compare locator stability and maintainability.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/>
                <w:b/>
                <w:color w:val="1F4E79"/>
                <w:sz w:val="22"/>
              </w:rPr>
              <w:t>0:20–0:25</w:t>
            </w:r>
          </w:p>
        </w:tc>
        <w:tc>
          <w:tcPr>
            <w:tcW w:type="dxa" w:w="7483"/>
          </w:tcPr>
          <w:p>
            <w:r>
              <w:rPr>
                <w:rFonts w:ascii="Arial" w:hAnsi="Arial"/>
                <w:color w:val="202020"/>
                <w:sz w:val="22"/>
              </w:rPr>
              <w:t>Whole class agrees on a 'good locator' rubric.</w:t>
            </w:r>
          </w:p>
        </w:tc>
      </w:tr>
    </w:tbl>
    <w:p/>
    <w:p>
      <w:r>
        <w:rPr>
          <w:rFonts w:ascii="Arial" w:hAnsi="Arial"/>
          <w:b/>
          <w:i w:val="0"/>
          <w:color w:val="202020"/>
          <w:sz w:val="22"/>
        </w:rPr>
        <w:t>Audience takeaways: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AI locators favour short XPath/CSS but break on small DOM changes.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data-test-id attributes still win for long-term maintainability.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Self-healing reduces noise but can mask real defects — pair with visual diff.</w:t>
      </w:r>
    </w:p>
    <w:p>
      <w:r>
        <w:rPr>
          <w:rFonts w:ascii="Arial" w:hAnsi="Arial"/>
          <w:b/>
          <w:color w:val="1F4E79"/>
          <w:sz w:val="32"/>
        </w:rPr>
        <w:t>8. Deliverables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Tool_Survey_Proposal.md - submitted in Stage S1.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User_Guide.md (&gt;= 6 sections) - submitted in Stage S4.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Demo_Screencast.mp4 (5-8 min) - submitted in Stage S4.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Activity_Worksheet.md for 'Locator Brawl — Hand-crafted vs AI-suggested' - submitted in Stage S5.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Seminar_Slides.pptx (&lt;= 15 slides) - submitted in Stage S6.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[AI-02] / [AI-03] / [AI-04] - submitted in Stage S8.</w:t>
      </w:r>
    </w:p>
    <w:p>
      <w:r>
        <w:rPr>
          <w:rFonts w:ascii="Arial" w:hAnsi="Arial"/>
          <w:b/>
          <w:color w:val="1F4E79"/>
          <w:sz w:val="32"/>
        </w:rPr>
        <w:t>9. Topic-Specific Grading Notes</w:t>
      </w:r>
    </w:p>
    <w:p>
      <w:r>
        <w:rPr>
          <w:rFonts w:ascii="Arial" w:hAnsi="Arial"/>
          <w:b w:val="0"/>
          <w:i w:val="0"/>
          <w:color w:val="202020"/>
          <w:sz w:val="22"/>
        </w:rPr>
        <w:t>Generic rubric is in Seminar_Guide.docx Section 6. Topic-specific additions: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Live demo MUST exercise at least one feature from the traditional tool AND one from the AI tool.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User guide MUST include a 'failure modes' section listing 3 real ways the tool can mislead users.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Activity worksheet MUST be reproducible by a peer team in &lt;= 25 minutes without your help.</w:t>
      </w:r>
    </w:p>
    <w:p/>
    <w:p>
      <w:pPr>
        <w:jc w:val="center"/>
      </w:pPr>
      <w:r>
        <w:rPr>
          <w:rFonts w:ascii="Arial" w:hAnsi="Arial"/>
          <w:b w:val="0"/>
          <w:i/>
          <w:color w:val="2E75B6"/>
          <w:sz w:val="22"/>
        </w:rPr>
        <w:t>-- End of T02 brief --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