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10D8B" w14:textId="77777777" w:rsidR="008C4E6D" w:rsidRDefault="007C009E">
      <w:pPr>
        <w:rPr>
          <w:rFonts w:ascii="Times New Roman" w:eastAsia="Times New Roman" w:hAnsi="Times New Roman" w:cs="Times New Roman"/>
          <w:b/>
          <w:sz w:val="24"/>
          <w:szCs w:val="24"/>
          <w:shd w:val="clear" w:color="auto" w:fill="EA9999"/>
        </w:rPr>
      </w:pPr>
      <w:r>
        <w:rPr>
          <w:rFonts w:ascii="Times New Roman" w:eastAsia="Times New Roman" w:hAnsi="Times New Roman" w:cs="Times New Roman"/>
          <w:b/>
          <w:sz w:val="24"/>
          <w:szCs w:val="24"/>
          <w:shd w:val="clear" w:color="auto" w:fill="EA9999"/>
        </w:rPr>
        <w:t>Autor: Cecilia S. Arancibia Terzi</w:t>
      </w:r>
    </w:p>
    <w:p w14:paraId="09E15967" w14:textId="77777777" w:rsidR="008C4E6D" w:rsidRDefault="008C4E6D">
      <w:pPr>
        <w:jc w:val="center"/>
        <w:rPr>
          <w:rFonts w:ascii="Times New Roman" w:eastAsia="Times New Roman" w:hAnsi="Times New Roman" w:cs="Times New Roman"/>
          <w:b/>
          <w:sz w:val="24"/>
          <w:szCs w:val="24"/>
        </w:rPr>
      </w:pPr>
    </w:p>
    <w:p w14:paraId="252F77F8" w14:textId="77777777" w:rsidR="008C4E6D" w:rsidRDefault="007C009E">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La Argentina minera, ¿Es competitiva?</w:t>
      </w:r>
    </w:p>
    <w:p w14:paraId="291A3DBC"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medida que transcurre una de las mayores crisis sanitarias que enfrenta el mundo con la propagación del COVID -19 y las consecuencias económicas devastadoras que está teniendo para cada país, proponemos analizar un sector clave para la economía de Argent</w:t>
      </w:r>
      <w:r>
        <w:rPr>
          <w:rFonts w:ascii="Times New Roman" w:eastAsia="Times New Roman" w:hAnsi="Times New Roman" w:cs="Times New Roman"/>
          <w:sz w:val="24"/>
          <w:szCs w:val="24"/>
        </w:rPr>
        <w:t>ina, considerando la situación previa a la pandemia para construir planes a futuro.</w:t>
      </w:r>
    </w:p>
    <w:p w14:paraId="6EBF2A90"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Argentina se encuentra en el 6to puesto en el ranking mundial de recursos mineros</w:t>
      </w:r>
      <w:r>
        <w:rPr>
          <w:rFonts w:ascii="Times New Roman" w:eastAsia="Times New Roman" w:hAnsi="Times New Roman" w:cs="Times New Roman"/>
          <w:sz w:val="24"/>
          <w:szCs w:val="24"/>
        </w:rPr>
        <w:t xml:space="preserve">, con un potencial de alrededor de 750.000km2, de lo cual resta por explorar más del </w:t>
      </w:r>
      <w:r w:rsidRPr="00584831">
        <w:rPr>
          <w:rFonts w:ascii="Times New Roman" w:eastAsia="Times New Roman" w:hAnsi="Times New Roman" w:cs="Times New Roman"/>
          <w:color w:val="FF0000"/>
          <w:sz w:val="24"/>
          <w:szCs w:val="24"/>
        </w:rPr>
        <w:t>75%</w:t>
      </w:r>
      <w:r w:rsidRPr="00584831">
        <w:rPr>
          <w:rFonts w:ascii="Times New Roman" w:eastAsia="Times New Roman" w:hAnsi="Times New Roman" w:cs="Times New Roman"/>
          <w:color w:val="FF0000"/>
          <w:sz w:val="24"/>
          <w:szCs w:val="24"/>
          <w:vertAlign w:val="superscript"/>
        </w:rPr>
        <w:footnoteReference w:id="1"/>
      </w:r>
      <w:r w:rsidRPr="0058483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Si bien el país cuenta con las condiciones para desarrollar al máximo este potencial, el hecho de que sea beneficiado con grandes niveles de recursos naturales no garantiza su riqueza.</w:t>
      </w:r>
    </w:p>
    <w:p w14:paraId="36D0CB47"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analizar este punto, nos basaremos en la literatura de ciencia </w:t>
      </w:r>
      <w:r>
        <w:rPr>
          <w:rFonts w:ascii="Times New Roman" w:eastAsia="Times New Roman" w:hAnsi="Times New Roman" w:cs="Times New Roman"/>
          <w:sz w:val="24"/>
          <w:szCs w:val="24"/>
        </w:rPr>
        <w:t xml:space="preserve">política que aborda la "Maldición de los Recursos Naturales". Si bien no hay nada definido en relación a ese efecto, ya que se ve reflejado en algunos casos, tiende a ser más notorio en países donde el petróleo o la minería son la única </w:t>
      </w:r>
      <w:r w:rsidRPr="00584831">
        <w:rPr>
          <w:rFonts w:ascii="Times New Roman" w:eastAsia="Times New Roman" w:hAnsi="Times New Roman" w:cs="Times New Roman"/>
          <w:color w:val="FF0000"/>
          <w:sz w:val="24"/>
          <w:szCs w:val="24"/>
        </w:rPr>
        <w:t>oportunidad.</w:t>
      </w:r>
      <w:r w:rsidRPr="00584831">
        <w:rPr>
          <w:rFonts w:ascii="Times New Roman" w:eastAsia="Times New Roman" w:hAnsi="Times New Roman" w:cs="Times New Roman"/>
          <w:color w:val="FF0000"/>
          <w:sz w:val="24"/>
          <w:szCs w:val="24"/>
          <w:vertAlign w:val="superscript"/>
        </w:rPr>
        <w:footnoteReference w:id="2"/>
      </w:r>
      <w:r w:rsidRPr="00584831">
        <w:rPr>
          <w:rFonts w:ascii="Times New Roman" w:eastAsia="Times New Roman" w:hAnsi="Times New Roman" w:cs="Times New Roman"/>
          <w:color w:val="FF0000"/>
          <w:sz w:val="24"/>
          <w:szCs w:val="24"/>
        </w:rPr>
        <w:t xml:space="preserve"> </w:t>
      </w:r>
    </w:p>
    <w:p w14:paraId="03132B1A"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w:t>
      </w:r>
      <w:r>
        <w:rPr>
          <w:rFonts w:ascii="Times New Roman" w:eastAsia="Times New Roman" w:hAnsi="Times New Roman" w:cs="Times New Roman"/>
          <w:sz w:val="24"/>
          <w:szCs w:val="24"/>
        </w:rPr>
        <w:t xml:space="preserve"> claro ejemplo de ello es el caso de Mongolia, donde en las elecciones del 2008, al vislumbrar la posibilidad de crecimiento con la minería, sus 2 partidos políticos más importantes prometieron en campaña asignar a cada ciudadano la riqueza que se generarí</w:t>
      </w:r>
      <w:r>
        <w:rPr>
          <w:rFonts w:ascii="Times New Roman" w:eastAsia="Times New Roman" w:hAnsi="Times New Roman" w:cs="Times New Roman"/>
          <w:sz w:val="24"/>
          <w:szCs w:val="24"/>
        </w:rPr>
        <w:t xml:space="preserve">a; UDS 700 uno, y USD 1000 el otro. Promesa imposible de cumplir, ya que habría significado el 60 % del PBI de todo el </w:t>
      </w:r>
      <w:r w:rsidRPr="00584831">
        <w:rPr>
          <w:rFonts w:ascii="Times New Roman" w:eastAsia="Times New Roman" w:hAnsi="Times New Roman" w:cs="Times New Roman"/>
          <w:color w:val="FF0000"/>
          <w:sz w:val="24"/>
          <w:szCs w:val="24"/>
        </w:rPr>
        <w:t xml:space="preserve">país. </w:t>
      </w:r>
      <w:r w:rsidRPr="00584831">
        <w:rPr>
          <w:rFonts w:ascii="Times New Roman" w:eastAsia="Times New Roman" w:hAnsi="Times New Roman" w:cs="Times New Roman"/>
          <w:color w:val="FF0000"/>
          <w:sz w:val="24"/>
          <w:szCs w:val="24"/>
          <w:vertAlign w:val="superscript"/>
        </w:rPr>
        <w:footnoteReference w:id="3"/>
      </w:r>
      <w:r w:rsidRPr="00584831">
        <w:rPr>
          <w:rFonts w:ascii="Times New Roman" w:eastAsia="Times New Roman" w:hAnsi="Times New Roman" w:cs="Times New Roman"/>
          <w:color w:val="FF0000"/>
          <w:sz w:val="24"/>
          <w:szCs w:val="24"/>
        </w:rPr>
        <w:t xml:space="preserve"> </w:t>
      </w:r>
    </w:p>
    <w:p w14:paraId="116942CA"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otro ejemplo es la República del Congo. En este caso la compañía nacional de petróleo tiene el poder de decidir qué empresas</w:t>
      </w:r>
      <w:r>
        <w:rPr>
          <w:rFonts w:ascii="Times New Roman" w:eastAsia="Times New Roman" w:hAnsi="Times New Roman" w:cs="Times New Roman"/>
          <w:sz w:val="24"/>
          <w:szCs w:val="24"/>
        </w:rPr>
        <w:t xml:space="preserve"> pueden comprar su producción. En 2005, ellos escogieron una compañía que resultó estar dirigida por el jefe de la empresa petrolera nacional. El petróleo fue vendido a esa firma fantasma a precios muy reducidos, y después, ésta, traspasó ese petróleo vend</w:t>
      </w:r>
      <w:r>
        <w:rPr>
          <w:rFonts w:ascii="Times New Roman" w:eastAsia="Times New Roman" w:hAnsi="Times New Roman" w:cs="Times New Roman"/>
          <w:sz w:val="24"/>
          <w:szCs w:val="24"/>
        </w:rPr>
        <w:t xml:space="preserve">iéndolo al precio del mercado a otra compañía. El margen de ganancia fue compartido por un grupo de la élite política que esencialmente recibió una asignación de ingresos públicos a través de este esquema </w:t>
      </w:r>
      <w:r w:rsidRPr="00584831">
        <w:rPr>
          <w:rFonts w:ascii="Times New Roman" w:eastAsia="Times New Roman" w:hAnsi="Times New Roman" w:cs="Times New Roman"/>
          <w:color w:val="FF0000"/>
          <w:sz w:val="24"/>
          <w:szCs w:val="24"/>
        </w:rPr>
        <w:t>fraudulento.</w:t>
      </w:r>
      <w:r w:rsidRPr="00584831">
        <w:rPr>
          <w:rFonts w:ascii="Times New Roman" w:eastAsia="Times New Roman" w:hAnsi="Times New Roman" w:cs="Times New Roman"/>
          <w:color w:val="FF0000"/>
          <w:sz w:val="24"/>
          <w:szCs w:val="24"/>
          <w:vertAlign w:val="superscript"/>
        </w:rPr>
        <w:footnoteReference w:id="4"/>
      </w:r>
    </w:p>
    <w:p w14:paraId="0E33F7A9" w14:textId="77777777" w:rsidR="008C4E6D" w:rsidRDefault="007C009E">
      <w:pPr>
        <w:ind w:firstLine="708"/>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Por otro lado, nos encontramos con p</w:t>
      </w:r>
      <w:r>
        <w:rPr>
          <w:rFonts w:ascii="Times New Roman" w:eastAsia="Times New Roman" w:hAnsi="Times New Roman" w:cs="Times New Roman"/>
          <w:sz w:val="24"/>
          <w:szCs w:val="24"/>
        </w:rPr>
        <w:t xml:space="preserve">aíses como Australia, Canadá y Noruega,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bien se han visto favorecidos por una gran cantidad de recursos naturales, han alcanzado </w:t>
      </w:r>
      <w:r>
        <w:rPr>
          <w:rFonts w:ascii="Times New Roman" w:eastAsia="Times New Roman" w:hAnsi="Times New Roman" w:cs="Times New Roman"/>
          <w:sz w:val="24"/>
          <w:szCs w:val="24"/>
        </w:rPr>
        <w:lastRenderedPageBreak/>
        <w:t xml:space="preserve">niveles de crecimiento alto y </w:t>
      </w:r>
      <w:r w:rsidRPr="00584831">
        <w:rPr>
          <w:rFonts w:ascii="Times New Roman" w:eastAsia="Times New Roman" w:hAnsi="Times New Roman" w:cs="Times New Roman"/>
          <w:color w:val="FF0000"/>
          <w:sz w:val="24"/>
          <w:szCs w:val="24"/>
        </w:rPr>
        <w:t>sostenido.</w:t>
      </w:r>
      <w:r w:rsidRPr="00584831">
        <w:rPr>
          <w:rFonts w:ascii="Times New Roman" w:eastAsia="Times New Roman" w:hAnsi="Times New Roman" w:cs="Times New Roman"/>
          <w:color w:val="FF0000"/>
          <w:sz w:val="24"/>
          <w:szCs w:val="24"/>
          <w:vertAlign w:val="superscript"/>
        </w:rPr>
        <w:footnoteReference w:id="5"/>
      </w:r>
      <w:r w:rsidRPr="0058483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En general, los países industrializados han sabido implementar políticas fisc</w:t>
      </w:r>
      <w:r>
        <w:rPr>
          <w:rFonts w:ascii="Times New Roman" w:eastAsia="Times New Roman" w:hAnsi="Times New Roman" w:cs="Times New Roman"/>
          <w:sz w:val="24"/>
          <w:szCs w:val="24"/>
        </w:rPr>
        <w:t xml:space="preserve">ales </w:t>
      </w:r>
      <w:proofErr w:type="spellStart"/>
      <w:r>
        <w:rPr>
          <w:rFonts w:ascii="Times New Roman" w:eastAsia="Times New Roman" w:hAnsi="Times New Roman" w:cs="Times New Roman"/>
          <w:sz w:val="24"/>
          <w:szCs w:val="24"/>
        </w:rPr>
        <w:t>contracíclicas</w:t>
      </w:r>
      <w:proofErr w:type="spellEnd"/>
      <w:r>
        <w:rPr>
          <w:rFonts w:ascii="Times New Roman" w:eastAsia="Times New Roman" w:hAnsi="Times New Roman" w:cs="Times New Roman"/>
          <w:sz w:val="24"/>
          <w:szCs w:val="24"/>
        </w:rPr>
        <w:t xml:space="preserve">, lo que implica evitar gastar los recursos en periodos de auge de precio y </w:t>
      </w:r>
      <w:r w:rsidRPr="00584831">
        <w:rPr>
          <w:rFonts w:ascii="Times New Roman" w:eastAsia="Times New Roman" w:hAnsi="Times New Roman" w:cs="Times New Roman"/>
          <w:color w:val="FF0000"/>
          <w:sz w:val="24"/>
          <w:szCs w:val="24"/>
        </w:rPr>
        <w:t>viceversa.</w:t>
      </w:r>
      <w:r w:rsidRPr="00584831">
        <w:rPr>
          <w:rFonts w:ascii="Times New Roman" w:eastAsia="Times New Roman" w:hAnsi="Times New Roman" w:cs="Times New Roman"/>
          <w:color w:val="FF0000"/>
          <w:sz w:val="24"/>
          <w:szCs w:val="24"/>
          <w:vertAlign w:val="superscript"/>
        </w:rPr>
        <w:footnoteReference w:id="6"/>
      </w:r>
      <w:r w:rsidRPr="00584831">
        <w:rPr>
          <w:rFonts w:ascii="Times New Roman" w:eastAsia="Times New Roman" w:hAnsi="Times New Roman" w:cs="Times New Roman"/>
          <w:color w:val="FF0000"/>
          <w:sz w:val="24"/>
          <w:szCs w:val="24"/>
        </w:rPr>
        <w:t xml:space="preserve"> </w:t>
      </w:r>
    </w:p>
    <w:p w14:paraId="7AB0C251"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posibilidad de implementar políticas </w:t>
      </w:r>
      <w:proofErr w:type="spellStart"/>
      <w:r>
        <w:rPr>
          <w:rFonts w:ascii="Times New Roman" w:eastAsia="Times New Roman" w:hAnsi="Times New Roman" w:cs="Times New Roman"/>
          <w:sz w:val="24"/>
          <w:szCs w:val="24"/>
        </w:rPr>
        <w:t>contracíclicas</w:t>
      </w:r>
      <w:proofErr w:type="spellEnd"/>
      <w:r>
        <w:rPr>
          <w:rFonts w:ascii="Times New Roman" w:eastAsia="Times New Roman" w:hAnsi="Times New Roman" w:cs="Times New Roman"/>
          <w:sz w:val="24"/>
          <w:szCs w:val="24"/>
        </w:rPr>
        <w:t xml:space="preserve"> dependerá de la calidad de las instituciones y se evidencia con la alta correlación que exis</w:t>
      </w:r>
      <w:r>
        <w:rPr>
          <w:rFonts w:ascii="Times New Roman" w:eastAsia="Times New Roman" w:hAnsi="Times New Roman" w:cs="Times New Roman"/>
          <w:sz w:val="24"/>
          <w:szCs w:val="24"/>
        </w:rPr>
        <w:t xml:space="preserve">te entre ambas variables. Chile es un país que en poco tiempo logró hacer más eficientes y transparentes sus instituciones, lo que le permitió pasar de políticas procíclicas a políticas </w:t>
      </w:r>
      <w:proofErr w:type="spellStart"/>
      <w:r>
        <w:rPr>
          <w:rFonts w:ascii="Times New Roman" w:eastAsia="Times New Roman" w:hAnsi="Times New Roman" w:cs="Times New Roman"/>
          <w:sz w:val="24"/>
          <w:szCs w:val="24"/>
        </w:rPr>
        <w:t>contracíclicas</w:t>
      </w:r>
      <w:proofErr w:type="spellEnd"/>
      <w:r>
        <w:rPr>
          <w:rFonts w:ascii="Times New Roman" w:eastAsia="Times New Roman" w:hAnsi="Times New Roman" w:cs="Times New Roman"/>
          <w:sz w:val="24"/>
          <w:szCs w:val="24"/>
        </w:rPr>
        <w:t>. Lo anterior, a su vez, ayudó al país a enfrentar de me</w:t>
      </w:r>
      <w:r>
        <w:rPr>
          <w:rFonts w:ascii="Times New Roman" w:eastAsia="Times New Roman" w:hAnsi="Times New Roman" w:cs="Times New Roman"/>
          <w:sz w:val="24"/>
          <w:szCs w:val="24"/>
        </w:rPr>
        <w:t xml:space="preserve">jor manera la crisis financiera mundial de 2008 y 2009, y la que afectó posteriormente a algunos países de la </w:t>
      </w:r>
      <w:r w:rsidRPr="00584831">
        <w:rPr>
          <w:rFonts w:ascii="Times New Roman" w:eastAsia="Times New Roman" w:hAnsi="Times New Roman" w:cs="Times New Roman"/>
          <w:color w:val="FF0000"/>
          <w:sz w:val="24"/>
          <w:szCs w:val="24"/>
        </w:rPr>
        <w:t>Unión Europea.</w:t>
      </w:r>
      <w:r w:rsidRPr="00584831">
        <w:rPr>
          <w:rFonts w:ascii="Times New Roman" w:eastAsia="Times New Roman" w:hAnsi="Times New Roman" w:cs="Times New Roman"/>
          <w:color w:val="FF0000"/>
          <w:sz w:val="24"/>
          <w:szCs w:val="24"/>
          <w:vertAlign w:val="superscript"/>
        </w:rPr>
        <w:footnoteReference w:id="7"/>
      </w:r>
    </w:p>
    <w:p w14:paraId="6A1B98E8"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seguridad jurídica y la fortaleza de las instituciones es uno de los desafíos más grandes que presenta Argentina, ya que se en</w:t>
      </w:r>
      <w:r>
        <w:rPr>
          <w:rFonts w:ascii="Times New Roman" w:eastAsia="Times New Roman" w:hAnsi="Times New Roman" w:cs="Times New Roman"/>
          <w:sz w:val="24"/>
          <w:szCs w:val="24"/>
        </w:rPr>
        <w:t xml:space="preserve">cuentra en la posición 149 de 180 países en el “Índice de Libertad Económica” del año 2020 que realizó Heritage.org, justo por debajo de Etiopía, Zambia y Guinea-Bissau. </w:t>
      </w:r>
      <w:proofErr w:type="gramStart"/>
      <w:r>
        <w:rPr>
          <w:rFonts w:ascii="Times New Roman" w:eastAsia="Times New Roman" w:hAnsi="Times New Roman" w:cs="Times New Roman"/>
          <w:sz w:val="24"/>
          <w:szCs w:val="24"/>
        </w:rPr>
        <w:t>Comparando  otros</w:t>
      </w:r>
      <w:proofErr w:type="gramEnd"/>
      <w:r>
        <w:rPr>
          <w:rFonts w:ascii="Times New Roman" w:eastAsia="Times New Roman" w:hAnsi="Times New Roman" w:cs="Times New Roman"/>
          <w:sz w:val="24"/>
          <w:szCs w:val="24"/>
        </w:rPr>
        <w:t xml:space="preserve"> países con explotación metalífera de la zona, encontramos a Chile en</w:t>
      </w:r>
      <w:r>
        <w:rPr>
          <w:rFonts w:ascii="Times New Roman" w:eastAsia="Times New Roman" w:hAnsi="Times New Roman" w:cs="Times New Roman"/>
          <w:sz w:val="24"/>
          <w:szCs w:val="24"/>
        </w:rPr>
        <w:t xml:space="preserve"> la posición 15, Perú en la 51, o si comparamos con Australia, la que se encuentra en la posición 4, Argentina está lejos de ser un destino tentador para inversionistas del </w:t>
      </w:r>
      <w:r w:rsidRPr="00584831">
        <w:rPr>
          <w:rFonts w:ascii="Times New Roman" w:eastAsia="Times New Roman" w:hAnsi="Times New Roman" w:cs="Times New Roman"/>
          <w:color w:val="FF0000"/>
          <w:sz w:val="24"/>
          <w:szCs w:val="24"/>
        </w:rPr>
        <w:t>mundo.</w:t>
      </w:r>
      <w:r w:rsidRPr="00584831">
        <w:rPr>
          <w:rFonts w:ascii="Times New Roman" w:eastAsia="Times New Roman" w:hAnsi="Times New Roman" w:cs="Times New Roman"/>
          <w:color w:val="FF0000"/>
          <w:sz w:val="24"/>
          <w:szCs w:val="24"/>
          <w:vertAlign w:val="superscript"/>
        </w:rPr>
        <w:t xml:space="preserve"> </w:t>
      </w:r>
      <w:r w:rsidRPr="00584831">
        <w:rPr>
          <w:rFonts w:ascii="Times New Roman" w:eastAsia="Times New Roman" w:hAnsi="Times New Roman" w:cs="Times New Roman"/>
          <w:color w:val="FF0000"/>
          <w:sz w:val="24"/>
          <w:szCs w:val="24"/>
          <w:vertAlign w:val="superscript"/>
        </w:rPr>
        <w:footnoteReference w:id="8"/>
      </w:r>
    </w:p>
    <w:p w14:paraId="3FC5E34F"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Si medimos la explotación de la actividad minera y su contribución en el PBI de 4 países (ver gráfico 1), notaremos que Argentina está muy por debajo de países mineros por </w:t>
      </w:r>
      <w:r w:rsidRPr="00584831">
        <w:rPr>
          <w:rFonts w:ascii="Times New Roman" w:eastAsia="Times New Roman" w:hAnsi="Times New Roman" w:cs="Times New Roman"/>
          <w:color w:val="FF0000"/>
          <w:sz w:val="24"/>
          <w:szCs w:val="24"/>
        </w:rPr>
        <w:t>excelencia.</w:t>
      </w:r>
    </w:p>
    <w:p w14:paraId="25AE1E2D"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79F4B3F2" wp14:editId="3BA8402D">
            <wp:extent cx="4738801" cy="293354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0390" t="33190" r="31206" b="18868"/>
                    <a:stretch>
                      <a:fillRect/>
                    </a:stretch>
                  </pic:blipFill>
                  <pic:spPr>
                    <a:xfrm>
                      <a:off x="0" y="0"/>
                      <a:ext cx="4738801" cy="2933545"/>
                    </a:xfrm>
                    <a:prstGeom prst="rect">
                      <a:avLst/>
                    </a:prstGeom>
                    <a:ln/>
                  </pic:spPr>
                </pic:pic>
              </a:graphicData>
            </a:graphic>
          </wp:inline>
        </w:drawing>
      </w:r>
      <w:r w:rsidRPr="00D56564">
        <w:rPr>
          <w:rFonts w:ascii="Times New Roman" w:eastAsia="Times New Roman" w:hAnsi="Times New Roman" w:cs="Times New Roman"/>
          <w:color w:val="FF0000"/>
          <w:sz w:val="24"/>
          <w:szCs w:val="24"/>
          <w:vertAlign w:val="superscript"/>
        </w:rPr>
        <w:footnoteReference w:id="9"/>
      </w:r>
      <w:r>
        <w:rPr>
          <w:noProof/>
        </w:rPr>
        <mc:AlternateContent>
          <mc:Choice Requires="wps">
            <w:drawing>
              <wp:anchor distT="0" distB="0" distL="114300" distR="114300" simplePos="0" relativeHeight="251658240" behindDoc="0" locked="0" layoutInCell="1" hidden="0" allowOverlap="1" wp14:anchorId="40B2E287" wp14:editId="29A92944">
                <wp:simplePos x="0" y="0"/>
                <wp:positionH relativeFrom="column">
                  <wp:posOffset>114300</wp:posOffset>
                </wp:positionH>
                <wp:positionV relativeFrom="paragraph">
                  <wp:posOffset>2692400</wp:posOffset>
                </wp:positionV>
                <wp:extent cx="1162464" cy="238125"/>
                <wp:effectExtent l="0" t="0" r="0" b="0"/>
                <wp:wrapNone/>
                <wp:docPr id="12" name="Rectángulo 12"/>
                <wp:cNvGraphicFramePr/>
                <a:graphic xmlns:a="http://schemas.openxmlformats.org/drawingml/2006/main">
                  <a:graphicData uri="http://schemas.microsoft.com/office/word/2010/wordprocessingShape">
                    <wps:wsp>
                      <wps:cNvSpPr/>
                      <wps:spPr>
                        <a:xfrm>
                          <a:off x="4769531" y="3665700"/>
                          <a:ext cx="1152939" cy="228600"/>
                        </a:xfrm>
                        <a:prstGeom prst="rect">
                          <a:avLst/>
                        </a:prstGeom>
                        <a:solidFill>
                          <a:schemeClr val="lt1"/>
                        </a:solidFill>
                        <a:ln>
                          <a:noFill/>
                        </a:ln>
                      </wps:spPr>
                      <wps:txbx>
                        <w:txbxContent>
                          <w:p w14:paraId="76852399" w14:textId="77777777" w:rsidR="008C4E6D" w:rsidRDefault="007C009E">
                            <w:pPr>
                              <w:spacing w:line="275" w:lineRule="auto"/>
                              <w:textDirection w:val="btLr"/>
                            </w:pPr>
                            <w:r>
                              <w:rPr>
                                <w:color w:val="000000"/>
                                <w:sz w:val="18"/>
                              </w:rPr>
                              <w:t>GRAFICO 1</w:t>
                            </w:r>
                          </w:p>
                        </w:txbxContent>
                      </wps:txbx>
                      <wps:bodyPr spcFirstLastPara="1" wrap="square" lIns="91425" tIns="45700" rIns="91425" bIns="45700" anchor="t" anchorCtr="0">
                        <a:noAutofit/>
                      </wps:bodyPr>
                    </wps:wsp>
                  </a:graphicData>
                </a:graphic>
              </wp:anchor>
            </w:drawing>
          </mc:Choice>
          <mc:Fallback>
            <w:pict>
              <v:rect w14:anchorId="40B2E287" id="Rectángulo 12" o:spid="_x0000_s1026" style="position:absolute;left:0;text-align:left;margin-left:9pt;margin-top:212pt;width:91.55pt;height:18.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" fillcolor="white [3201]" stroked="f">
                <v:textbox inset="2.53958mm,1.2694mm,2.53958mm,1.2694mm">
                  <w:txbxContent>
                    <w:p w14:paraId="76852399" w14:textId="77777777" w:rsidR="008C4E6D" w:rsidRDefault="007C009E">
                      <w:pPr>
                        <w:spacing w:line="275" w:lineRule="auto"/>
                        <w:textDirection w:val="btLr"/>
                      </w:pPr>
                      <w:r>
                        <w:rPr>
                          <w:color w:val="000000"/>
                          <w:sz w:val="18"/>
                        </w:rPr>
                        <w:t>GRAFICO 1</w:t>
                      </w:r>
                    </w:p>
                  </w:txbxContent>
                </v:textbox>
              </v:rect>
            </w:pict>
          </mc:Fallback>
        </mc:AlternateContent>
      </w:r>
    </w:p>
    <w:p w14:paraId="23C85AF9"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Además, si cotejamos los niveles de exportación de la </w:t>
      </w:r>
      <w:r>
        <w:rPr>
          <w:rFonts w:ascii="Times New Roman" w:eastAsia="Times New Roman" w:hAnsi="Times New Roman" w:cs="Times New Roman"/>
          <w:sz w:val="24"/>
          <w:szCs w:val="24"/>
        </w:rPr>
        <w:t>actividad minera de Argentina al año 2019, cuyo monto fue de tres mil doscientos millones de dólares (3,2 MM), con países como Australia, que en dicho año exportó ciento treinta y dos mil setecientos millones de dólares (132,7MM), o Chile treinta y seis mi</w:t>
      </w:r>
      <w:r>
        <w:rPr>
          <w:rFonts w:ascii="Times New Roman" w:eastAsia="Times New Roman" w:hAnsi="Times New Roman" w:cs="Times New Roman"/>
          <w:sz w:val="24"/>
          <w:szCs w:val="24"/>
        </w:rPr>
        <w:t xml:space="preserve">l trescientos millones de dólares (36,3MM) y Perú veintisiete mil cien millones de dólares (27,1MM), nos damos cuenta que Argentina se encuentra muy lejos de esos </w:t>
      </w:r>
      <w:r w:rsidRPr="00584831">
        <w:rPr>
          <w:rFonts w:ascii="Times New Roman" w:eastAsia="Times New Roman" w:hAnsi="Times New Roman" w:cs="Times New Roman"/>
          <w:color w:val="FF0000"/>
          <w:sz w:val="24"/>
          <w:szCs w:val="24"/>
        </w:rPr>
        <w:t>valores.</w:t>
      </w:r>
      <w:r w:rsidRPr="00584831">
        <w:rPr>
          <w:rFonts w:ascii="Times New Roman" w:eastAsia="Times New Roman" w:hAnsi="Times New Roman" w:cs="Times New Roman"/>
          <w:color w:val="FF0000"/>
          <w:sz w:val="24"/>
          <w:szCs w:val="24"/>
          <w:vertAlign w:val="superscript"/>
        </w:rPr>
        <w:footnoteReference w:id="10"/>
      </w:r>
      <w:r w:rsidRPr="0058483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(Ver gráfico 2)</w:t>
      </w:r>
    </w:p>
    <w:p w14:paraId="5856C5E4" w14:textId="77777777" w:rsidR="008C4E6D" w:rsidRDefault="007C009E">
      <w:pPr>
        <w:pBdr>
          <w:top w:val="nil"/>
          <w:left w:val="nil"/>
          <w:bottom w:val="nil"/>
          <w:right w:val="nil"/>
          <w:between w:val="nil"/>
        </w:pBdr>
        <w:spacing w:after="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59A0CF79" wp14:editId="09443086">
            <wp:extent cx="4542183" cy="2425148"/>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3F2A7F4" w14:textId="77777777" w:rsidR="008C4E6D" w:rsidRDefault="007C009E">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hidden="0" allowOverlap="1" wp14:anchorId="180636CF" wp14:editId="41716A88">
                <wp:simplePos x="0" y="0"/>
                <wp:positionH relativeFrom="column">
                  <wp:posOffset>12701</wp:posOffset>
                </wp:positionH>
                <wp:positionV relativeFrom="paragraph">
                  <wp:posOffset>0</wp:posOffset>
                </wp:positionV>
                <wp:extent cx="1162050" cy="238125"/>
                <wp:effectExtent l="0" t="0" r="0" b="0"/>
                <wp:wrapNone/>
                <wp:docPr id="16" name="Rectángulo 16"/>
                <wp:cNvGraphicFramePr/>
                <a:graphic xmlns:a="http://schemas.openxmlformats.org/drawingml/2006/main">
                  <a:graphicData uri="http://schemas.microsoft.com/office/word/2010/wordprocessingShape">
                    <wps:wsp>
                      <wps:cNvSpPr/>
                      <wps:spPr>
                        <a:xfrm>
                          <a:off x="4769738" y="3665700"/>
                          <a:ext cx="1152525" cy="228600"/>
                        </a:xfrm>
                        <a:prstGeom prst="rect">
                          <a:avLst/>
                        </a:prstGeom>
                        <a:solidFill>
                          <a:srgbClr val="FFFFFF"/>
                        </a:solidFill>
                        <a:ln>
                          <a:noFill/>
                        </a:ln>
                      </wps:spPr>
                      <wps:txbx>
                        <w:txbxContent>
                          <w:p w14:paraId="4327405F" w14:textId="77777777" w:rsidR="008C4E6D" w:rsidRDefault="007C009E">
                            <w:pPr>
                              <w:spacing w:line="275" w:lineRule="auto"/>
                              <w:textDirection w:val="btLr"/>
                            </w:pPr>
                            <w:r>
                              <w:rPr>
                                <w:color w:val="000000"/>
                                <w:sz w:val="18"/>
                              </w:rPr>
                              <w:t>GRAFICO 2</w:t>
                            </w:r>
                          </w:p>
                        </w:txbxContent>
                      </wps:txbx>
                      <wps:bodyPr spcFirstLastPara="1" wrap="square" lIns="91425" tIns="45700" rIns="91425" bIns="45700" anchor="t" anchorCtr="0">
                        <a:noAutofit/>
                      </wps:bodyPr>
                    </wps:wsp>
                  </a:graphicData>
                </a:graphic>
              </wp:anchor>
            </w:drawing>
          </mc:Choice>
          <mc:Fallback>
            <w:pict>
              <v:rect w14:anchorId="180636CF" id="Rectángulo 16" o:spid="_x0000_s1027" style="position:absolute;left:0;text-align:left;margin-left:1pt;margin-top:0;width:91.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" stroked="f">
                <v:textbox inset="2.53958mm,1.2694mm,2.53958mm,1.2694mm">
                  <w:txbxContent>
                    <w:p w14:paraId="4327405F" w14:textId="77777777" w:rsidR="008C4E6D" w:rsidRDefault="007C009E">
                      <w:pPr>
                        <w:spacing w:line="275" w:lineRule="auto"/>
                        <w:textDirection w:val="btLr"/>
                      </w:pPr>
                      <w:r>
                        <w:rPr>
                          <w:color w:val="000000"/>
                          <w:sz w:val="18"/>
                        </w:rPr>
                        <w:t>GRAFICO 2</w:t>
                      </w:r>
                    </w:p>
                  </w:txbxContent>
                </v:textbox>
              </v:rect>
            </w:pict>
          </mc:Fallback>
        </mc:AlternateContent>
      </w:r>
    </w:p>
    <w:p w14:paraId="5F21F33C"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 xml:space="preserve">Según estudios de la Comisión Económica para América Latina y el Caribe (CEPAL), si se compara Argentina con Latinoamérica y el Caribe, nos encontramos con que el país abarca solo un 3% de las exportaciones de la región. (ver gráfico 3). </w:t>
      </w:r>
    </w:p>
    <w:p w14:paraId="347D3C75" w14:textId="77777777" w:rsidR="008C4E6D" w:rsidRDefault="007C009E">
      <w:pPr>
        <w:jc w:val="center"/>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710BA40" wp14:editId="17C5F0BC">
            <wp:extent cx="5068395" cy="3598698"/>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6312" t="16452" r="18147" b="9093"/>
                    <a:stretch>
                      <a:fillRect/>
                    </a:stretch>
                  </pic:blipFill>
                  <pic:spPr>
                    <a:xfrm>
                      <a:off x="0" y="0"/>
                      <a:ext cx="5068395" cy="3598698"/>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1FB11AB7" wp14:editId="685A9DB8">
                <wp:simplePos x="0" y="0"/>
                <wp:positionH relativeFrom="column">
                  <wp:posOffset>-76199</wp:posOffset>
                </wp:positionH>
                <wp:positionV relativeFrom="paragraph">
                  <wp:posOffset>3149600</wp:posOffset>
                </wp:positionV>
                <wp:extent cx="1162050" cy="238125"/>
                <wp:effectExtent l="0" t="0" r="0" b="0"/>
                <wp:wrapNone/>
                <wp:docPr id="14" name="Rectángulo 14"/>
                <wp:cNvGraphicFramePr/>
                <a:graphic xmlns:a="http://schemas.openxmlformats.org/drawingml/2006/main">
                  <a:graphicData uri="http://schemas.microsoft.com/office/word/2010/wordprocessingShape">
                    <wps:wsp>
                      <wps:cNvSpPr/>
                      <wps:spPr>
                        <a:xfrm>
                          <a:off x="4769738" y="3665700"/>
                          <a:ext cx="1152525" cy="228600"/>
                        </a:xfrm>
                        <a:prstGeom prst="rect">
                          <a:avLst/>
                        </a:prstGeom>
                        <a:solidFill>
                          <a:srgbClr val="FFFFFF"/>
                        </a:solidFill>
                        <a:ln>
                          <a:noFill/>
                        </a:ln>
                      </wps:spPr>
                      <wps:txbx>
                        <w:txbxContent>
                          <w:p w14:paraId="6A836C2E" w14:textId="77777777" w:rsidR="008C4E6D" w:rsidRDefault="007C009E">
                            <w:pPr>
                              <w:spacing w:line="275" w:lineRule="auto"/>
                              <w:textDirection w:val="btLr"/>
                            </w:pPr>
                            <w:r>
                              <w:rPr>
                                <w:color w:val="000000"/>
                                <w:sz w:val="18"/>
                              </w:rPr>
                              <w:t>GRAFICO 3</w:t>
                            </w:r>
                          </w:p>
                        </w:txbxContent>
                      </wps:txbx>
                      <wps:bodyPr spcFirstLastPara="1" wrap="square" lIns="91425" tIns="45700" rIns="91425" bIns="45700" anchor="t" anchorCtr="0">
                        <a:noAutofit/>
                      </wps:bodyPr>
                    </wps:wsp>
                  </a:graphicData>
                </a:graphic>
              </wp:anchor>
            </w:drawing>
          </mc:Choice>
          <mc:Fallback>
            <w:pict>
              <v:rect w14:anchorId="1FB11AB7" id="Rectángulo 14" o:spid="_x0000_s1028" style="position:absolute;left:0;text-align:left;margin-left:-6pt;margin-top:248pt;width:91.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" stroked="f">
                <v:textbox inset="2.53958mm,1.2694mm,2.53958mm,1.2694mm">
                  <w:txbxContent>
                    <w:p w14:paraId="6A836C2E" w14:textId="77777777" w:rsidR="008C4E6D" w:rsidRDefault="007C009E">
                      <w:pPr>
                        <w:spacing w:line="275" w:lineRule="auto"/>
                        <w:textDirection w:val="btLr"/>
                      </w:pPr>
                      <w:r>
                        <w:rPr>
                          <w:color w:val="000000"/>
                          <w:sz w:val="18"/>
                        </w:rPr>
                        <w:t>GRAFICO 3</w:t>
                      </w:r>
                    </w:p>
                  </w:txbxContent>
                </v:textbox>
              </v:rect>
            </w:pict>
          </mc:Fallback>
        </mc:AlternateContent>
      </w:r>
    </w:p>
    <w:p w14:paraId="4385316A" w14:textId="77777777" w:rsidR="008C4E6D" w:rsidRDefault="007C009E">
      <w:pPr>
        <w:ind w:firstLine="70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potencial que tiene Argentina es grande, pero para lograr un desarrollo de la minería a nivel internacional es necesario que el país tenga seguridad jurídica, estabilidad y previsibilidad de políticas públicas, ya que se tratan de inversiones de riesgo y </w:t>
      </w:r>
      <w:r>
        <w:rPr>
          <w:rFonts w:ascii="Times New Roman" w:eastAsia="Times New Roman" w:hAnsi="Times New Roman" w:cs="Times New Roman"/>
          <w:sz w:val="24"/>
          <w:szCs w:val="24"/>
        </w:rPr>
        <w:t>a largo plazo.</w:t>
      </w:r>
    </w:p>
    <w:p w14:paraId="67C59256"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La inversión extranjera directa en Argentina, en el periodo 2007-2016, fue de 16.171 millones de dólares, y el 30% de esos flujos derivó de la construcción de los proyectos Pascua-Lama y Potasio Río </w:t>
      </w:r>
      <w:r w:rsidRPr="00584831">
        <w:rPr>
          <w:rFonts w:ascii="Times New Roman" w:eastAsia="Times New Roman" w:hAnsi="Times New Roman" w:cs="Times New Roman"/>
          <w:b/>
          <w:color w:val="FF0000"/>
          <w:sz w:val="24"/>
          <w:szCs w:val="24"/>
        </w:rPr>
        <w:t>Colorado.</w:t>
      </w:r>
      <w:r w:rsidRPr="00584831">
        <w:rPr>
          <w:rFonts w:ascii="Times New Roman" w:eastAsia="Times New Roman" w:hAnsi="Times New Roman" w:cs="Times New Roman"/>
          <w:b/>
          <w:color w:val="FF0000"/>
          <w:sz w:val="24"/>
          <w:szCs w:val="24"/>
          <w:vertAlign w:val="superscript"/>
        </w:rPr>
        <w:footnoteReference w:id="11"/>
      </w:r>
      <w:r w:rsidRPr="0058483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Si comparamos en el plano internacional los flujos de inversión extranjera en el período 2009-2016, nos encontraremos con que Argentina representa un 28% de los flujos de Chile, y solo un 6% de los de </w:t>
      </w:r>
      <w:r w:rsidRPr="00584831">
        <w:rPr>
          <w:rFonts w:ascii="Times New Roman" w:eastAsia="Times New Roman" w:hAnsi="Times New Roman" w:cs="Times New Roman"/>
          <w:color w:val="FF0000"/>
          <w:sz w:val="24"/>
          <w:szCs w:val="24"/>
        </w:rPr>
        <w:t>Australia</w:t>
      </w:r>
      <w:r w:rsidRPr="00584831">
        <w:rPr>
          <w:rFonts w:ascii="Times New Roman" w:eastAsia="Times New Roman" w:hAnsi="Times New Roman" w:cs="Times New Roman"/>
          <w:color w:val="FF0000"/>
          <w:sz w:val="24"/>
          <w:szCs w:val="24"/>
          <w:vertAlign w:val="superscript"/>
        </w:rPr>
        <w:footnoteReference w:id="12"/>
      </w:r>
      <w:r w:rsidRPr="00584831">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(ver gráfico 4). </w:t>
      </w:r>
    </w:p>
    <w:p w14:paraId="218BDD7D"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7761815E" wp14:editId="72ACF812">
            <wp:extent cx="4598376" cy="3195783"/>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22518" t="30637" r="31463" b="18193"/>
                    <a:stretch>
                      <a:fillRect/>
                    </a:stretch>
                  </pic:blipFill>
                  <pic:spPr>
                    <a:xfrm>
                      <a:off x="0" y="0"/>
                      <a:ext cx="4598376" cy="3195783"/>
                    </a:xfrm>
                    <a:prstGeom prst="rect">
                      <a:avLst/>
                    </a:prstGeom>
                    <a:ln/>
                  </pic:spPr>
                </pic:pic>
              </a:graphicData>
            </a:graphic>
          </wp:inline>
        </w:drawing>
      </w:r>
      <w:r w:rsidRPr="00D56564">
        <w:rPr>
          <w:rFonts w:ascii="Times New Roman" w:eastAsia="Times New Roman" w:hAnsi="Times New Roman" w:cs="Times New Roman"/>
          <w:color w:val="FF0000"/>
          <w:sz w:val="24"/>
          <w:szCs w:val="24"/>
          <w:vertAlign w:val="superscript"/>
        </w:rPr>
        <w:footnoteReference w:id="13"/>
      </w:r>
      <w:r>
        <w:rPr>
          <w:noProof/>
        </w:rPr>
        <mc:AlternateContent>
          <mc:Choice Requires="wps">
            <w:drawing>
              <wp:anchor distT="0" distB="0" distL="114300" distR="114300" simplePos="0" relativeHeight="251661312" behindDoc="0" locked="0" layoutInCell="1" hidden="0" allowOverlap="1" wp14:anchorId="70B5AD5E" wp14:editId="04C8DF78">
                <wp:simplePos x="0" y="0"/>
                <wp:positionH relativeFrom="column">
                  <wp:posOffset>508000</wp:posOffset>
                </wp:positionH>
                <wp:positionV relativeFrom="paragraph">
                  <wp:posOffset>3009900</wp:posOffset>
                </wp:positionV>
                <wp:extent cx="1162050" cy="238125"/>
                <wp:effectExtent l="0" t="0" r="0" b="0"/>
                <wp:wrapNone/>
                <wp:docPr id="15" name="Rectángulo 15"/>
                <wp:cNvGraphicFramePr/>
                <a:graphic xmlns:a="http://schemas.openxmlformats.org/drawingml/2006/main">
                  <a:graphicData uri="http://schemas.microsoft.com/office/word/2010/wordprocessingShape">
                    <wps:wsp>
                      <wps:cNvSpPr/>
                      <wps:spPr>
                        <a:xfrm>
                          <a:off x="4769738" y="3665700"/>
                          <a:ext cx="1152525" cy="228600"/>
                        </a:xfrm>
                        <a:prstGeom prst="rect">
                          <a:avLst/>
                        </a:prstGeom>
                        <a:solidFill>
                          <a:srgbClr val="FFFFFF"/>
                        </a:solidFill>
                        <a:ln>
                          <a:noFill/>
                        </a:ln>
                      </wps:spPr>
                      <wps:txbx>
                        <w:txbxContent>
                          <w:p w14:paraId="1DCF297B" w14:textId="77777777" w:rsidR="008C4E6D" w:rsidRDefault="007C009E">
                            <w:pPr>
                              <w:spacing w:line="275" w:lineRule="auto"/>
                              <w:textDirection w:val="btLr"/>
                            </w:pPr>
                            <w:r>
                              <w:rPr>
                                <w:color w:val="000000"/>
                                <w:sz w:val="18"/>
                              </w:rPr>
                              <w:t>GRAFICO 4</w:t>
                            </w:r>
                          </w:p>
                        </w:txbxContent>
                      </wps:txbx>
                      <wps:bodyPr spcFirstLastPara="1" wrap="square" lIns="91425" tIns="45700" rIns="91425" bIns="45700" anchor="t" anchorCtr="0">
                        <a:noAutofit/>
                      </wps:bodyPr>
                    </wps:wsp>
                  </a:graphicData>
                </a:graphic>
              </wp:anchor>
            </w:drawing>
          </mc:Choice>
          <mc:Fallback>
            <w:pict>
              <v:rect w14:anchorId="70B5AD5E" id="Rectángulo 15" o:spid="_x0000_s1029" style="position:absolute;left:0;text-align:left;margin-left:40pt;margin-top:237pt;width:91.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" stroked="f">
                <v:textbox inset="2.53958mm,1.2694mm,2.53958mm,1.2694mm">
                  <w:txbxContent>
                    <w:p w14:paraId="1DCF297B" w14:textId="77777777" w:rsidR="008C4E6D" w:rsidRDefault="007C009E">
                      <w:pPr>
                        <w:spacing w:line="275" w:lineRule="auto"/>
                        <w:textDirection w:val="btLr"/>
                      </w:pPr>
                      <w:r>
                        <w:rPr>
                          <w:color w:val="000000"/>
                          <w:sz w:val="18"/>
                        </w:rPr>
                        <w:t>GRAFICO 4</w:t>
                      </w:r>
                    </w:p>
                  </w:txbxContent>
                </v:textbox>
              </v:rect>
            </w:pict>
          </mc:Fallback>
        </mc:AlternateContent>
      </w:r>
    </w:p>
    <w:p w14:paraId="0DBCBBA3"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En ese mismo sentido, si comparamos los flujos de inversión extranjera en Latinoamérica y el Caribe durante el periodo 2003-2017, notaremos que Argentina no figura en el gráfico por los bajos niveles de inversión </w:t>
      </w:r>
      <w:r w:rsidRPr="00D56564">
        <w:rPr>
          <w:rFonts w:ascii="Times New Roman" w:eastAsia="Times New Roman" w:hAnsi="Times New Roman" w:cs="Times New Roman"/>
          <w:color w:val="FF0000"/>
          <w:sz w:val="24"/>
          <w:szCs w:val="24"/>
        </w:rPr>
        <w:t>minera.</w:t>
      </w:r>
      <w:r w:rsidRPr="00D56564">
        <w:rPr>
          <w:rFonts w:ascii="Times New Roman" w:eastAsia="Times New Roman" w:hAnsi="Times New Roman" w:cs="Times New Roman"/>
          <w:color w:val="FF0000"/>
          <w:sz w:val="24"/>
          <w:szCs w:val="24"/>
          <w:vertAlign w:val="superscript"/>
        </w:rPr>
        <w:footnoteReference w:id="14"/>
      </w:r>
      <w:r w:rsidRPr="00D5656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(ver gráfico 5).</w:t>
      </w:r>
    </w:p>
    <w:p w14:paraId="1C770AAC"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noProof/>
        </w:rPr>
        <w:lastRenderedPageBreak/>
        <w:drawing>
          <wp:inline distT="0" distB="0" distL="0" distR="0" wp14:anchorId="2931BCDC" wp14:editId="74271B96">
            <wp:extent cx="4100207" cy="2878225"/>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3209" t="13861" r="15170" b="5383"/>
                    <a:stretch>
                      <a:fillRect/>
                    </a:stretch>
                  </pic:blipFill>
                  <pic:spPr>
                    <a:xfrm>
                      <a:off x="0" y="0"/>
                      <a:ext cx="4100207" cy="287822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hidden="0" allowOverlap="1" wp14:anchorId="1B5A3744" wp14:editId="6F06E339">
                <wp:simplePos x="0" y="0"/>
                <wp:positionH relativeFrom="column">
                  <wp:posOffset>241300</wp:posOffset>
                </wp:positionH>
                <wp:positionV relativeFrom="paragraph">
                  <wp:posOffset>2895600</wp:posOffset>
                </wp:positionV>
                <wp:extent cx="1162050" cy="238125"/>
                <wp:effectExtent l="0" t="0" r="0" b="0"/>
                <wp:wrapNone/>
                <wp:docPr id="13" name="Rectángulo 13"/>
                <wp:cNvGraphicFramePr/>
                <a:graphic xmlns:a="http://schemas.openxmlformats.org/drawingml/2006/main">
                  <a:graphicData uri="http://schemas.microsoft.com/office/word/2010/wordprocessingShape">
                    <wps:wsp>
                      <wps:cNvSpPr/>
                      <wps:spPr>
                        <a:xfrm>
                          <a:off x="4769738" y="3665700"/>
                          <a:ext cx="1152525" cy="228600"/>
                        </a:xfrm>
                        <a:prstGeom prst="rect">
                          <a:avLst/>
                        </a:prstGeom>
                        <a:solidFill>
                          <a:srgbClr val="FFFFFF"/>
                        </a:solidFill>
                        <a:ln>
                          <a:noFill/>
                        </a:ln>
                      </wps:spPr>
                      <wps:txbx>
                        <w:txbxContent>
                          <w:p w14:paraId="0596B358" w14:textId="77777777" w:rsidR="008C4E6D" w:rsidRDefault="007C009E">
                            <w:pPr>
                              <w:spacing w:line="275" w:lineRule="auto"/>
                              <w:textDirection w:val="btLr"/>
                            </w:pPr>
                            <w:r>
                              <w:rPr>
                                <w:color w:val="000000"/>
                                <w:sz w:val="18"/>
                              </w:rPr>
                              <w:t>GRAFICO 5</w:t>
                            </w:r>
                          </w:p>
                        </w:txbxContent>
                      </wps:txbx>
                      <wps:bodyPr spcFirstLastPara="1" wrap="square" lIns="91425" tIns="45700" rIns="91425" bIns="45700" anchor="t" anchorCtr="0">
                        <a:noAutofit/>
                      </wps:bodyPr>
                    </wps:wsp>
                  </a:graphicData>
                </a:graphic>
              </wp:anchor>
            </w:drawing>
          </mc:Choice>
          <mc:Fallback>
            <w:pict>
              <v:rect w14:anchorId="1B5A3744" id="Rectángulo 13" o:spid="_x0000_s1030" style="position:absolute;left:0;text-align:left;margin-left:19pt;margin-top:228pt;width:91.5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" stroked="f">
                <v:textbox inset="2.53958mm,1.2694mm,2.53958mm,1.2694mm">
                  <w:txbxContent>
                    <w:p w14:paraId="0596B358" w14:textId="77777777" w:rsidR="008C4E6D" w:rsidRDefault="007C009E">
                      <w:pPr>
                        <w:spacing w:line="275" w:lineRule="auto"/>
                        <w:textDirection w:val="btLr"/>
                      </w:pPr>
                      <w:r>
                        <w:rPr>
                          <w:color w:val="000000"/>
                          <w:sz w:val="18"/>
                        </w:rPr>
                        <w:t>GRAFICO 5</w:t>
                      </w:r>
                    </w:p>
                  </w:txbxContent>
                </v:textbox>
              </v:rect>
            </w:pict>
          </mc:Fallback>
        </mc:AlternateContent>
      </w:r>
    </w:p>
    <w:p w14:paraId="1DE133A4"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nos de los aspectos que colocan a Argentina en una posición poco competitiva son la carga impositiva, costos operativos, la dinámica del tipo de cambio y la inflación. Analizando algunos de estos factores, vemos que en el caso del Impuesto a las Ganancias </w:t>
      </w:r>
      <w:r>
        <w:rPr>
          <w:rFonts w:ascii="Times New Roman" w:eastAsia="Times New Roman" w:hAnsi="Times New Roman" w:cs="Times New Roman"/>
          <w:sz w:val="24"/>
          <w:szCs w:val="24"/>
        </w:rPr>
        <w:t xml:space="preserve">en Argentina representa más del 50% del total de los impuestos pagados y la tasa aplicable supera entre un 15% y 30% a las tasas de países como Chile, Perú y </w:t>
      </w:r>
      <w:r w:rsidRPr="00D56564">
        <w:rPr>
          <w:rFonts w:ascii="Times New Roman" w:eastAsia="Times New Roman" w:hAnsi="Times New Roman" w:cs="Times New Roman"/>
          <w:color w:val="FF0000"/>
          <w:sz w:val="24"/>
          <w:szCs w:val="24"/>
        </w:rPr>
        <w:t>Australia.</w:t>
      </w:r>
      <w:r w:rsidRPr="00D56564">
        <w:rPr>
          <w:rFonts w:ascii="Times New Roman" w:eastAsia="Times New Roman" w:hAnsi="Times New Roman" w:cs="Times New Roman"/>
          <w:color w:val="FF0000"/>
          <w:sz w:val="24"/>
          <w:szCs w:val="24"/>
          <w:vertAlign w:val="superscript"/>
        </w:rPr>
        <w:footnoteReference w:id="15"/>
      </w:r>
      <w:r w:rsidRPr="00D5656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En el mismo sentido, el IVA </w:t>
      </w:r>
      <w:proofErr w:type="gramStart"/>
      <w:r>
        <w:rPr>
          <w:rFonts w:ascii="Times New Roman" w:eastAsia="Times New Roman" w:hAnsi="Times New Roman" w:cs="Times New Roman"/>
          <w:sz w:val="24"/>
          <w:szCs w:val="24"/>
        </w:rPr>
        <w:t>de  Argentina</w:t>
      </w:r>
      <w:proofErr w:type="gramEnd"/>
      <w:r>
        <w:rPr>
          <w:rFonts w:ascii="Times New Roman" w:eastAsia="Times New Roman" w:hAnsi="Times New Roman" w:cs="Times New Roman"/>
          <w:sz w:val="24"/>
          <w:szCs w:val="24"/>
        </w:rPr>
        <w:t xml:space="preserve"> (21%), es también superior a las tasas de </w:t>
      </w:r>
      <w:r>
        <w:rPr>
          <w:rFonts w:ascii="Times New Roman" w:eastAsia="Times New Roman" w:hAnsi="Times New Roman" w:cs="Times New Roman"/>
          <w:sz w:val="24"/>
          <w:szCs w:val="24"/>
        </w:rPr>
        <w:t xml:space="preserve">Chile (19%), Perú (18%) y </w:t>
      </w:r>
      <w:r w:rsidRPr="00D56564">
        <w:rPr>
          <w:rFonts w:ascii="Times New Roman" w:eastAsia="Times New Roman" w:hAnsi="Times New Roman" w:cs="Times New Roman"/>
          <w:color w:val="FF0000"/>
          <w:sz w:val="24"/>
          <w:szCs w:val="24"/>
        </w:rPr>
        <w:t>Australia (10%).</w:t>
      </w:r>
      <w:r w:rsidRPr="00D56564">
        <w:rPr>
          <w:rFonts w:ascii="Times New Roman" w:eastAsia="Times New Roman" w:hAnsi="Times New Roman" w:cs="Times New Roman"/>
          <w:color w:val="FF0000"/>
          <w:sz w:val="24"/>
          <w:szCs w:val="24"/>
          <w:vertAlign w:val="superscript"/>
        </w:rPr>
        <w:footnoteReference w:id="16"/>
      </w:r>
    </w:p>
    <w:p w14:paraId="6386D52C" w14:textId="77777777" w:rsidR="008C4E6D" w:rsidRDefault="007C009E">
      <w:pPr>
        <w:ind w:firstLine="708"/>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Respecto de las regalías mineras, es importante indicar que en Argentina las mismas se cobran independientemente de la rentabilidad de la operación (esquema regresivo), mientras que en la mayoría de los países l</w:t>
      </w:r>
      <w:r>
        <w:rPr>
          <w:rFonts w:ascii="Times New Roman" w:eastAsia="Times New Roman" w:hAnsi="Times New Roman" w:cs="Times New Roman"/>
          <w:sz w:val="24"/>
          <w:szCs w:val="24"/>
        </w:rPr>
        <w:t xml:space="preserve">as regalías presentan esquemas progresivos, que a lo largo de la vida de una operación redundan en mayores beneficios para el fisco, sencillamente porque cuando las operadoras incrementan sus ingresos la recaudación se </w:t>
      </w:r>
      <w:r w:rsidRPr="00D56564">
        <w:rPr>
          <w:rFonts w:ascii="Times New Roman" w:eastAsia="Times New Roman" w:hAnsi="Times New Roman" w:cs="Times New Roman"/>
          <w:color w:val="FF0000"/>
          <w:sz w:val="24"/>
          <w:szCs w:val="24"/>
        </w:rPr>
        <w:t xml:space="preserve">incrementa. </w:t>
      </w:r>
      <w:r w:rsidRPr="00D56564">
        <w:rPr>
          <w:rFonts w:ascii="Times New Roman" w:eastAsia="Times New Roman" w:hAnsi="Times New Roman" w:cs="Times New Roman"/>
          <w:color w:val="FF0000"/>
          <w:sz w:val="24"/>
          <w:szCs w:val="24"/>
          <w:vertAlign w:val="superscript"/>
        </w:rPr>
        <w:footnoteReference w:id="17"/>
      </w:r>
    </w:p>
    <w:p w14:paraId="46ACD479" w14:textId="77777777" w:rsidR="008C4E6D" w:rsidRDefault="007C009E">
      <w:pPr>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Otro de los factores es la inflación, que tan solo en el año 2019 fue de un 53,8% </w:t>
      </w:r>
      <w:r w:rsidRPr="00D56564">
        <w:rPr>
          <w:rFonts w:ascii="Times New Roman" w:eastAsia="Times New Roman" w:hAnsi="Times New Roman" w:cs="Times New Roman"/>
          <w:color w:val="FF0000"/>
          <w:sz w:val="24"/>
          <w:szCs w:val="24"/>
        </w:rPr>
        <w:t>interanual.</w:t>
      </w:r>
      <w:r w:rsidRPr="00D56564">
        <w:rPr>
          <w:rFonts w:ascii="Times New Roman" w:eastAsia="Times New Roman" w:hAnsi="Times New Roman" w:cs="Times New Roman"/>
          <w:color w:val="FF0000"/>
          <w:sz w:val="24"/>
          <w:szCs w:val="24"/>
          <w:vertAlign w:val="superscript"/>
        </w:rPr>
        <w:footnoteReference w:id="18"/>
      </w:r>
      <w:r w:rsidRPr="00D5656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Esto afecta no sólo a consumidores y usuarios, sino a toda la cadena de producción, costos de producción, mano de obra, afectando a la economía en su conjunto. </w:t>
      </w:r>
      <w:r>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lastRenderedPageBreak/>
        <w:t>inflación de Chile en el mismo año fue de</w:t>
      </w:r>
      <w:r w:rsidRPr="00D56564">
        <w:rPr>
          <w:rFonts w:ascii="Times New Roman" w:eastAsia="Times New Roman" w:hAnsi="Times New Roman" w:cs="Times New Roman"/>
          <w:color w:val="FF0000"/>
          <w:sz w:val="24"/>
          <w:szCs w:val="24"/>
        </w:rPr>
        <w:t>l 3%</w:t>
      </w:r>
      <w:r w:rsidRPr="00D56564">
        <w:rPr>
          <w:rFonts w:ascii="Times New Roman" w:eastAsia="Times New Roman" w:hAnsi="Times New Roman" w:cs="Times New Roman"/>
          <w:color w:val="FF0000"/>
          <w:sz w:val="24"/>
          <w:szCs w:val="24"/>
          <w:vertAlign w:val="superscript"/>
        </w:rPr>
        <w:footnoteReference w:id="19"/>
      </w:r>
      <w:r w:rsidRPr="00D56564">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de Perú fue </w:t>
      </w:r>
      <w:proofErr w:type="gramStart"/>
      <w:r>
        <w:rPr>
          <w:rFonts w:ascii="Times New Roman" w:eastAsia="Times New Roman" w:hAnsi="Times New Roman" w:cs="Times New Roman"/>
          <w:sz w:val="24"/>
          <w:szCs w:val="24"/>
        </w:rPr>
        <w:t>del  1</w:t>
      </w:r>
      <w:proofErr w:type="gramEnd"/>
      <w:r>
        <w:rPr>
          <w:rFonts w:ascii="Times New Roman" w:eastAsia="Times New Roman" w:hAnsi="Times New Roman" w:cs="Times New Roman"/>
          <w:sz w:val="24"/>
          <w:szCs w:val="24"/>
        </w:rPr>
        <w:t xml:space="preserve">,9% </w:t>
      </w:r>
      <w:r w:rsidRPr="00D56564">
        <w:rPr>
          <w:rFonts w:ascii="Times New Roman" w:eastAsia="Times New Roman" w:hAnsi="Times New Roman" w:cs="Times New Roman"/>
          <w:color w:val="FF0000"/>
          <w:sz w:val="24"/>
          <w:szCs w:val="24"/>
          <w:vertAlign w:val="superscript"/>
        </w:rPr>
        <w:footnoteReference w:id="20"/>
      </w:r>
      <w:r w:rsidRPr="00D56564">
        <w:rPr>
          <w:rFonts w:ascii="Times New Roman" w:eastAsia="Times New Roman" w:hAnsi="Times New Roman" w:cs="Times New Roman"/>
          <w:color w:val="FF0000"/>
          <w:sz w:val="24"/>
          <w:szCs w:val="24"/>
        </w:rPr>
        <w:t xml:space="preserve">a </w:t>
      </w:r>
      <w:r>
        <w:rPr>
          <w:rFonts w:ascii="Times New Roman" w:eastAsia="Times New Roman" w:hAnsi="Times New Roman" w:cs="Times New Roman"/>
          <w:sz w:val="24"/>
          <w:szCs w:val="24"/>
        </w:rPr>
        <w:t xml:space="preserve">noviembre de 2019, y de Australia fue del </w:t>
      </w:r>
      <w:r w:rsidRPr="00D56564">
        <w:rPr>
          <w:rFonts w:ascii="Times New Roman" w:eastAsia="Times New Roman" w:hAnsi="Times New Roman" w:cs="Times New Roman"/>
          <w:color w:val="FF0000"/>
          <w:sz w:val="24"/>
          <w:szCs w:val="24"/>
        </w:rPr>
        <w:t>1,6%</w:t>
      </w:r>
      <w:r w:rsidRPr="00D56564">
        <w:rPr>
          <w:rFonts w:ascii="Times New Roman" w:eastAsia="Times New Roman" w:hAnsi="Times New Roman" w:cs="Times New Roman"/>
          <w:color w:val="FF0000"/>
          <w:sz w:val="24"/>
          <w:szCs w:val="24"/>
          <w:vertAlign w:val="superscript"/>
        </w:rPr>
        <w:footnoteReference w:id="21"/>
      </w:r>
      <w:r w:rsidRPr="00D56564">
        <w:rPr>
          <w:rFonts w:ascii="Times New Roman" w:eastAsia="Times New Roman" w:hAnsi="Times New Roman" w:cs="Times New Roman"/>
          <w:color w:val="FF0000"/>
          <w:sz w:val="24"/>
          <w:szCs w:val="24"/>
        </w:rPr>
        <w:t xml:space="preserve">. </w:t>
      </w:r>
    </w:p>
    <w:p w14:paraId="6F5FF77A" w14:textId="77777777" w:rsidR="008C4E6D" w:rsidRDefault="007C009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Estos datos dejan en evidencia la situación en la que se encuentra el país, quedando muy lejos de poder competir con otros Esta</w:t>
      </w:r>
      <w:r>
        <w:rPr>
          <w:rFonts w:ascii="Times New Roman" w:eastAsia="Times New Roman" w:hAnsi="Times New Roman" w:cs="Times New Roman"/>
          <w:sz w:val="24"/>
          <w:szCs w:val="24"/>
        </w:rPr>
        <w:t xml:space="preserve">dos en el mercado mundial. Los recursos naturales son moldeados por el contexto político, y mientras Argentina continúe con el agravamiento de la decadencia por un débil liderazgo político, con altos niveles de corrupción, sin ideas ni planes a futuro, es </w:t>
      </w:r>
      <w:r>
        <w:rPr>
          <w:rFonts w:ascii="Times New Roman" w:eastAsia="Times New Roman" w:hAnsi="Times New Roman" w:cs="Times New Roman"/>
          <w:sz w:val="24"/>
          <w:szCs w:val="24"/>
        </w:rPr>
        <w:t xml:space="preserve">prácticamente nula la probabilidad de que capitales extranjeros decidan invertir a largo plazo en el país, descartando posibles proyectos de explotación minera. </w:t>
      </w:r>
    </w:p>
    <w:p w14:paraId="4FA5F523" w14:textId="77777777" w:rsidR="008C4E6D" w:rsidRDefault="008C4E6D">
      <w:pPr>
        <w:jc w:val="both"/>
        <w:rPr>
          <w:rFonts w:ascii="Times New Roman" w:eastAsia="Times New Roman" w:hAnsi="Times New Roman" w:cs="Times New Roman"/>
          <w:sz w:val="24"/>
          <w:szCs w:val="24"/>
        </w:rPr>
      </w:pPr>
    </w:p>
    <w:p w14:paraId="2CBA1642" w14:textId="77777777" w:rsidR="008C4E6D" w:rsidRDefault="008C4E6D">
      <w:pPr>
        <w:jc w:val="both"/>
        <w:rPr>
          <w:rFonts w:ascii="Arial" w:eastAsia="Arial" w:hAnsi="Arial" w:cs="Arial"/>
          <w:sz w:val="24"/>
          <w:szCs w:val="24"/>
        </w:rPr>
      </w:pPr>
    </w:p>
    <w:sectPr w:rsidR="008C4E6D">
      <w:headerReference w:type="defaul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83F4A" w14:textId="77777777" w:rsidR="007C009E" w:rsidRDefault="007C009E">
      <w:pPr>
        <w:spacing w:after="0" w:line="240" w:lineRule="auto"/>
      </w:pPr>
      <w:r>
        <w:separator/>
      </w:r>
    </w:p>
  </w:endnote>
  <w:endnote w:type="continuationSeparator" w:id="0">
    <w:p w14:paraId="5AA7F4B9" w14:textId="77777777" w:rsidR="007C009E" w:rsidRDefault="007C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9E506" w14:textId="77777777" w:rsidR="007C009E" w:rsidRDefault="007C009E">
      <w:pPr>
        <w:spacing w:after="0" w:line="240" w:lineRule="auto"/>
      </w:pPr>
      <w:r>
        <w:separator/>
      </w:r>
    </w:p>
  </w:footnote>
  <w:footnote w:type="continuationSeparator" w:id="0">
    <w:p w14:paraId="4CD58A87" w14:textId="77777777" w:rsidR="007C009E" w:rsidRDefault="007C009E">
      <w:pPr>
        <w:spacing w:after="0" w:line="240" w:lineRule="auto"/>
      </w:pPr>
      <w:r>
        <w:continuationSeparator/>
      </w:r>
    </w:p>
  </w:footnote>
  <w:footnote w:id="1">
    <w:p w14:paraId="35075863"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Argentina, “Hacia la </w:t>
      </w:r>
      <w:r>
        <w:rPr>
          <w:sz w:val="20"/>
          <w:szCs w:val="20"/>
        </w:rPr>
        <w:t>construcción</w:t>
      </w:r>
      <w:r>
        <w:rPr>
          <w:color w:val="000000"/>
          <w:sz w:val="20"/>
          <w:szCs w:val="20"/>
        </w:rPr>
        <w:t xml:space="preserve"> de una visión compartida sobre la minería en Argentina”, </w:t>
      </w:r>
      <w:r>
        <w:rPr>
          <w:sz w:val="20"/>
          <w:szCs w:val="20"/>
        </w:rPr>
        <w:t>año 2020,</w:t>
      </w:r>
      <w:r>
        <w:rPr>
          <w:color w:val="000000"/>
          <w:sz w:val="20"/>
          <w:szCs w:val="20"/>
        </w:rPr>
        <w:t xml:space="preserve"> pág. 4</w:t>
      </w:r>
    </w:p>
  </w:footnote>
  <w:footnote w:id="2">
    <w:p w14:paraId="75D68F60"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color w:val="171C29"/>
          <w:sz w:val="20"/>
          <w:szCs w:val="20"/>
          <w:highlight w:val="white"/>
        </w:rPr>
        <w:t xml:space="preserve">Sector Extractivo: sostenibilidad y desarrollo en América Latina y el Caribe, Banco Interamericano </w:t>
      </w:r>
      <w:proofErr w:type="spellStart"/>
      <w:r>
        <w:rPr>
          <w:color w:val="171C29"/>
          <w:sz w:val="20"/>
          <w:szCs w:val="20"/>
          <w:highlight w:val="white"/>
        </w:rPr>
        <w:t>del</w:t>
      </w:r>
      <w:proofErr w:type="spellEnd"/>
      <w:r>
        <w:rPr>
          <w:color w:val="171C29"/>
          <w:sz w:val="20"/>
          <w:szCs w:val="20"/>
          <w:highlight w:val="white"/>
        </w:rPr>
        <w:t xml:space="preserve"> Desarrollo, </w:t>
      </w:r>
      <w:r>
        <w:rPr>
          <w:sz w:val="20"/>
          <w:szCs w:val="20"/>
        </w:rPr>
        <w:t>año 2019</w:t>
      </w:r>
      <w:r>
        <w:rPr>
          <w:color w:val="171C29"/>
          <w:sz w:val="20"/>
          <w:szCs w:val="20"/>
          <w:highlight w:val="white"/>
        </w:rPr>
        <w:t>.</w:t>
      </w:r>
    </w:p>
  </w:footnote>
  <w:footnote w:id="3">
    <w:p w14:paraId="434745AB"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171C29"/>
          <w:sz w:val="20"/>
          <w:szCs w:val="20"/>
          <w:highlight w:val="white"/>
        </w:rPr>
        <w:t>Idem</w:t>
      </w:r>
      <w:proofErr w:type="spellEnd"/>
    </w:p>
  </w:footnote>
  <w:footnote w:id="4">
    <w:p w14:paraId="20488B43"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color w:val="171C29"/>
          <w:sz w:val="20"/>
          <w:szCs w:val="20"/>
          <w:highlight w:val="white"/>
        </w:rPr>
        <w:t>Idem</w:t>
      </w:r>
      <w:proofErr w:type="spellEnd"/>
    </w:p>
  </w:footnote>
  <w:footnote w:id="5">
    <w:p w14:paraId="1A135086"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HUGO ALTOMONTE, RICARDO J. SÁNCHEZ, </w:t>
      </w:r>
      <w:proofErr w:type="gramStart"/>
      <w:r>
        <w:rPr>
          <w:color w:val="000000"/>
          <w:sz w:val="20"/>
          <w:szCs w:val="20"/>
        </w:rPr>
        <w:t>“ Hacia</w:t>
      </w:r>
      <w:proofErr w:type="gramEnd"/>
      <w:r>
        <w:rPr>
          <w:color w:val="000000"/>
          <w:sz w:val="20"/>
          <w:szCs w:val="20"/>
        </w:rPr>
        <w:t xml:space="preserve"> una nueva gobernanza de los recursos naturales en América Latina y el C</w:t>
      </w:r>
      <w:r>
        <w:rPr>
          <w:color w:val="000000"/>
          <w:sz w:val="20"/>
          <w:szCs w:val="20"/>
        </w:rPr>
        <w:t>aribe”, Comisión Económica para América Latina y el Caribe (CEPAL),  Santiago de Chile, mayo de 2016, pág. 42</w:t>
      </w:r>
    </w:p>
  </w:footnote>
  <w:footnote w:id="6">
    <w:p w14:paraId="7204ED95"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HUGO ALTOMONTE, RICARDO J. SÁNCHEZ, </w:t>
      </w:r>
      <w:proofErr w:type="gramStart"/>
      <w:r>
        <w:rPr>
          <w:color w:val="000000"/>
          <w:sz w:val="20"/>
          <w:szCs w:val="20"/>
        </w:rPr>
        <w:t>“ Hacia</w:t>
      </w:r>
      <w:proofErr w:type="gramEnd"/>
      <w:r>
        <w:rPr>
          <w:color w:val="000000"/>
          <w:sz w:val="20"/>
          <w:szCs w:val="20"/>
        </w:rPr>
        <w:t xml:space="preserve"> una nueva gobernanza de los recursos naturales en América Latina y el Caribe”, Comisión Económica pa</w:t>
      </w:r>
      <w:r>
        <w:rPr>
          <w:color w:val="000000"/>
          <w:sz w:val="20"/>
          <w:szCs w:val="20"/>
        </w:rPr>
        <w:t>ra América Latina y el Caribe (CEPAL),  Santiago de Chile, mayo de 2016, pág. 44</w:t>
      </w:r>
    </w:p>
  </w:footnote>
  <w:footnote w:id="7">
    <w:p w14:paraId="421B6337"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HUGO ALTOMONTE, RICARDO J. SÁNCHEZ, </w:t>
      </w:r>
      <w:proofErr w:type="gramStart"/>
      <w:r>
        <w:rPr>
          <w:color w:val="000000"/>
          <w:sz w:val="20"/>
          <w:szCs w:val="20"/>
        </w:rPr>
        <w:t>“ Hacia</w:t>
      </w:r>
      <w:proofErr w:type="gramEnd"/>
      <w:r>
        <w:rPr>
          <w:color w:val="000000"/>
          <w:sz w:val="20"/>
          <w:szCs w:val="20"/>
        </w:rPr>
        <w:t xml:space="preserve"> una nueva gobernanza de los recursos naturales en América Latina y el Caribe”, Comisión Económica para América Latina y el Caribe</w:t>
      </w:r>
      <w:r>
        <w:rPr>
          <w:color w:val="000000"/>
          <w:sz w:val="20"/>
          <w:szCs w:val="20"/>
        </w:rPr>
        <w:t xml:space="preserve"> (CEPAL),  Santiago de Chile, mayo de 2016, pág. 45</w:t>
      </w:r>
    </w:p>
  </w:footnote>
  <w:footnote w:id="8">
    <w:p w14:paraId="2FBA1903"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https://www.heritage.org/index/ranking</w:t>
        </w:r>
      </w:hyperlink>
      <w:r>
        <w:rPr>
          <w:color w:val="000000"/>
          <w:sz w:val="20"/>
          <w:szCs w:val="20"/>
        </w:rPr>
        <w:t xml:space="preserve"> </w:t>
      </w:r>
    </w:p>
  </w:footnote>
  <w:footnote w:id="9">
    <w:p w14:paraId="115E4E60"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w:t>
      </w:r>
      <w:proofErr w:type="gramStart"/>
      <w:r>
        <w:rPr>
          <w:color w:val="000000"/>
          <w:sz w:val="20"/>
          <w:szCs w:val="20"/>
        </w:rPr>
        <w:t>Argentina ,</w:t>
      </w:r>
      <w:proofErr w:type="gramEnd"/>
      <w:r>
        <w:rPr>
          <w:color w:val="000000"/>
          <w:sz w:val="20"/>
          <w:szCs w:val="20"/>
        </w:rPr>
        <w:t xml:space="preserve"> “Hacia la </w:t>
      </w:r>
      <w:r>
        <w:rPr>
          <w:sz w:val="20"/>
          <w:szCs w:val="20"/>
        </w:rPr>
        <w:t>construcción</w:t>
      </w:r>
      <w:r>
        <w:rPr>
          <w:color w:val="000000"/>
          <w:sz w:val="20"/>
          <w:szCs w:val="20"/>
        </w:rPr>
        <w:t xml:space="preserve"> de una visión compartida sob</w:t>
      </w:r>
      <w:r>
        <w:rPr>
          <w:color w:val="000000"/>
          <w:sz w:val="20"/>
          <w:szCs w:val="20"/>
        </w:rPr>
        <w:t xml:space="preserve">re la minería en Argentina”, </w:t>
      </w:r>
      <w:r>
        <w:rPr>
          <w:sz w:val="20"/>
          <w:szCs w:val="20"/>
        </w:rPr>
        <w:t>año 2020,</w:t>
      </w:r>
      <w:r>
        <w:rPr>
          <w:color w:val="000000"/>
          <w:sz w:val="20"/>
          <w:szCs w:val="20"/>
        </w:rPr>
        <w:t xml:space="preserve"> pág. 7</w:t>
      </w:r>
    </w:p>
  </w:footnote>
  <w:footnote w:id="10">
    <w:p w14:paraId="69F17AE2"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Argentina, “Hacia la </w:t>
      </w:r>
      <w:r>
        <w:rPr>
          <w:sz w:val="20"/>
          <w:szCs w:val="20"/>
        </w:rPr>
        <w:t>construcción</w:t>
      </w:r>
      <w:r>
        <w:rPr>
          <w:color w:val="000000"/>
          <w:sz w:val="20"/>
          <w:szCs w:val="20"/>
        </w:rPr>
        <w:t xml:space="preserve"> de una visión compartida sobre la minería en Argentina”, </w:t>
      </w:r>
      <w:r>
        <w:rPr>
          <w:sz w:val="20"/>
          <w:szCs w:val="20"/>
        </w:rPr>
        <w:t>año 2020,</w:t>
      </w:r>
      <w:r>
        <w:rPr>
          <w:color w:val="000000"/>
          <w:sz w:val="20"/>
          <w:szCs w:val="20"/>
        </w:rPr>
        <w:t xml:space="preserve"> pág. 11</w:t>
      </w:r>
    </w:p>
    <w:p w14:paraId="70043146" w14:textId="77777777" w:rsidR="008C4E6D" w:rsidRDefault="008C4E6D">
      <w:pPr>
        <w:pBdr>
          <w:top w:val="nil"/>
          <w:left w:val="nil"/>
          <w:bottom w:val="nil"/>
          <w:right w:val="nil"/>
          <w:between w:val="nil"/>
        </w:pBdr>
        <w:spacing w:after="0" w:line="240" w:lineRule="auto"/>
        <w:rPr>
          <w:color w:val="000000"/>
          <w:sz w:val="20"/>
          <w:szCs w:val="20"/>
        </w:rPr>
      </w:pPr>
    </w:p>
  </w:footnote>
  <w:footnote w:id="11">
    <w:p w14:paraId="6BE35053"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Argentina, “Hacia la </w:t>
      </w:r>
      <w:r>
        <w:rPr>
          <w:sz w:val="20"/>
          <w:szCs w:val="20"/>
        </w:rPr>
        <w:t>construcción</w:t>
      </w:r>
      <w:r>
        <w:rPr>
          <w:color w:val="000000"/>
          <w:sz w:val="20"/>
          <w:szCs w:val="20"/>
        </w:rPr>
        <w:t xml:space="preserve"> de una visión compartida sobre la minería en Argentina”, </w:t>
      </w:r>
      <w:r>
        <w:rPr>
          <w:sz w:val="20"/>
          <w:szCs w:val="20"/>
        </w:rPr>
        <w:t xml:space="preserve">año 2020, </w:t>
      </w:r>
      <w:r>
        <w:rPr>
          <w:color w:val="000000"/>
          <w:sz w:val="20"/>
          <w:szCs w:val="20"/>
        </w:rPr>
        <w:t>pág. 13</w:t>
      </w:r>
    </w:p>
  </w:footnote>
  <w:footnote w:id="12">
    <w:p w14:paraId="0A8D70C6"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proofErr w:type="spellStart"/>
      <w:r>
        <w:rPr>
          <w:sz w:val="20"/>
          <w:szCs w:val="20"/>
        </w:rPr>
        <w:t>Idem</w:t>
      </w:r>
      <w:proofErr w:type="spellEnd"/>
    </w:p>
  </w:footnote>
  <w:footnote w:id="13">
    <w:p w14:paraId="6F2C0FB4"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Argentina, “Hacia la </w:t>
      </w:r>
      <w:r>
        <w:rPr>
          <w:sz w:val="20"/>
          <w:szCs w:val="20"/>
        </w:rPr>
        <w:t>construcción</w:t>
      </w:r>
      <w:r>
        <w:rPr>
          <w:color w:val="000000"/>
          <w:sz w:val="20"/>
          <w:szCs w:val="20"/>
        </w:rPr>
        <w:t xml:space="preserve"> de una visión compartida sobre la minería en Argentina”, </w:t>
      </w:r>
      <w:r>
        <w:rPr>
          <w:sz w:val="20"/>
          <w:szCs w:val="20"/>
        </w:rPr>
        <w:t xml:space="preserve">año </w:t>
      </w:r>
      <w:proofErr w:type="gramStart"/>
      <w:r>
        <w:rPr>
          <w:sz w:val="20"/>
          <w:szCs w:val="20"/>
        </w:rPr>
        <w:t xml:space="preserve">2020, </w:t>
      </w:r>
      <w:r>
        <w:rPr>
          <w:color w:val="000000"/>
          <w:sz w:val="20"/>
          <w:szCs w:val="20"/>
        </w:rPr>
        <w:t xml:space="preserve"> pág.</w:t>
      </w:r>
      <w:proofErr w:type="gramEnd"/>
      <w:r>
        <w:rPr>
          <w:color w:val="000000"/>
          <w:sz w:val="20"/>
          <w:szCs w:val="20"/>
        </w:rPr>
        <w:t xml:space="preserve"> 14</w:t>
      </w:r>
    </w:p>
    <w:p w14:paraId="086359F1" w14:textId="77777777" w:rsidR="008C4E6D" w:rsidRDefault="008C4E6D">
      <w:pPr>
        <w:pBdr>
          <w:top w:val="nil"/>
          <w:left w:val="nil"/>
          <w:bottom w:val="nil"/>
          <w:right w:val="nil"/>
          <w:between w:val="nil"/>
        </w:pBdr>
        <w:spacing w:after="0" w:line="240" w:lineRule="auto"/>
        <w:rPr>
          <w:color w:val="000000"/>
          <w:sz w:val="20"/>
          <w:szCs w:val="20"/>
        </w:rPr>
      </w:pPr>
    </w:p>
  </w:footnote>
  <w:footnote w:id="14">
    <w:p w14:paraId="667E153E"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2">
        <w:r>
          <w:rPr>
            <w:color w:val="0000FF"/>
            <w:sz w:val="20"/>
            <w:szCs w:val="20"/>
            <w:u w:val="single"/>
          </w:rPr>
          <w:t>https://www.cepal.org/sites/default/files/presentation/files/181116_extendidafinalconferencia_a_los_ministros_mineria_lima.pdf</w:t>
        </w:r>
      </w:hyperlink>
      <w:r>
        <w:rPr>
          <w:color w:val="000000"/>
          <w:sz w:val="20"/>
          <w:szCs w:val="20"/>
        </w:rPr>
        <w:t xml:space="preserve"> </w:t>
      </w:r>
    </w:p>
  </w:footnote>
  <w:footnote w:id="15">
    <w:p w14:paraId="0E01C930" w14:textId="77777777" w:rsidR="008C4E6D" w:rsidRDefault="007C009E">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Ministerio de Desarrollo Productivo de Argentina, “Hacia la </w:t>
      </w:r>
      <w:r>
        <w:rPr>
          <w:sz w:val="20"/>
          <w:szCs w:val="20"/>
        </w:rPr>
        <w:t>construcción</w:t>
      </w:r>
      <w:r>
        <w:rPr>
          <w:color w:val="000000"/>
          <w:sz w:val="20"/>
          <w:szCs w:val="20"/>
        </w:rPr>
        <w:t xml:space="preserve"> de una vis</w:t>
      </w:r>
      <w:r>
        <w:rPr>
          <w:color w:val="000000"/>
          <w:sz w:val="20"/>
          <w:szCs w:val="20"/>
        </w:rPr>
        <w:t xml:space="preserve">ión compartida sobre la minería en Argentina”, </w:t>
      </w:r>
      <w:r>
        <w:rPr>
          <w:sz w:val="20"/>
          <w:szCs w:val="20"/>
        </w:rPr>
        <w:t xml:space="preserve">año 2020, </w:t>
      </w:r>
      <w:r>
        <w:rPr>
          <w:color w:val="000000"/>
          <w:sz w:val="20"/>
          <w:szCs w:val="20"/>
        </w:rPr>
        <w:t>pág. 21</w:t>
      </w:r>
    </w:p>
  </w:footnote>
  <w:footnote w:id="16">
    <w:p w14:paraId="758FEBDC"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sz w:val="20"/>
          <w:szCs w:val="20"/>
          <w:lang w:val="en-US"/>
        </w:rPr>
        <w:t>Idem</w:t>
      </w:r>
    </w:p>
  </w:footnote>
  <w:footnote w:id="17">
    <w:p w14:paraId="2D584452"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sz w:val="20"/>
          <w:szCs w:val="20"/>
          <w:lang w:val="en-US"/>
        </w:rPr>
        <w:t>Idem</w:t>
      </w:r>
    </w:p>
  </w:footnote>
  <w:footnote w:id="18">
    <w:p w14:paraId="2E41B8C2"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color w:val="000000"/>
          <w:sz w:val="20"/>
          <w:szCs w:val="20"/>
          <w:lang w:val="en-US"/>
        </w:rPr>
        <w:t xml:space="preserve"> </w:t>
      </w:r>
      <w:hyperlink r:id="rId3">
        <w:r w:rsidRPr="00584831">
          <w:rPr>
            <w:color w:val="0000FF"/>
            <w:sz w:val="20"/>
            <w:szCs w:val="20"/>
            <w:u w:val="single"/>
            <w:lang w:val="en-US"/>
          </w:rPr>
          <w:t>https://www.indec.gob.ar/uploads/informesdeprensa/ipc_01_20578B3E8357.pdf</w:t>
        </w:r>
      </w:hyperlink>
      <w:r w:rsidRPr="00584831">
        <w:rPr>
          <w:color w:val="000000"/>
          <w:sz w:val="20"/>
          <w:szCs w:val="20"/>
          <w:lang w:val="en-US"/>
        </w:rPr>
        <w:t xml:space="preserve"> </w:t>
      </w:r>
    </w:p>
  </w:footnote>
  <w:footnote w:id="19">
    <w:p w14:paraId="2A59C272"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color w:val="000000"/>
          <w:sz w:val="20"/>
          <w:szCs w:val="20"/>
          <w:lang w:val="en-US"/>
        </w:rPr>
        <w:t xml:space="preserve"> </w:t>
      </w:r>
      <w:hyperlink r:id="rId4">
        <w:r w:rsidRPr="00584831">
          <w:rPr>
            <w:color w:val="0000FF"/>
            <w:sz w:val="20"/>
            <w:szCs w:val="20"/>
            <w:u w:val="single"/>
            <w:lang w:val="en-US"/>
          </w:rPr>
          <w:t>https://www.inflation.eu/es/tasas-de-inflacion/chile/inflacion-historica/ipc-inflacion-chile-2019.aspx</w:t>
        </w:r>
      </w:hyperlink>
      <w:r w:rsidRPr="00584831">
        <w:rPr>
          <w:color w:val="000000"/>
          <w:sz w:val="20"/>
          <w:szCs w:val="20"/>
          <w:lang w:val="en-US"/>
        </w:rPr>
        <w:t xml:space="preserve"> </w:t>
      </w:r>
    </w:p>
  </w:footnote>
  <w:footnote w:id="20">
    <w:p w14:paraId="50854C55"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color w:val="000000"/>
          <w:sz w:val="20"/>
          <w:szCs w:val="20"/>
          <w:lang w:val="en-US"/>
        </w:rPr>
        <w:t xml:space="preserve"> </w:t>
      </w:r>
      <w:hyperlink r:id="rId5">
        <w:r w:rsidRPr="00584831">
          <w:rPr>
            <w:color w:val="0000FF"/>
            <w:sz w:val="20"/>
            <w:szCs w:val="20"/>
            <w:u w:val="single"/>
            <w:lang w:val="en-US"/>
          </w:rPr>
          <w:t>https://www.bcrp.gob.pe/publicaciones/reporte-de-inflacion.html</w:t>
        </w:r>
      </w:hyperlink>
      <w:r w:rsidRPr="00584831">
        <w:rPr>
          <w:color w:val="000000"/>
          <w:sz w:val="20"/>
          <w:szCs w:val="20"/>
          <w:lang w:val="en-US"/>
        </w:rPr>
        <w:t xml:space="preserve"> </w:t>
      </w:r>
    </w:p>
  </w:footnote>
  <w:footnote w:id="21">
    <w:p w14:paraId="24CE2635" w14:textId="77777777" w:rsidR="008C4E6D" w:rsidRPr="00584831" w:rsidRDefault="007C009E">
      <w:pPr>
        <w:pBdr>
          <w:top w:val="nil"/>
          <w:left w:val="nil"/>
          <w:bottom w:val="nil"/>
          <w:right w:val="nil"/>
          <w:between w:val="nil"/>
        </w:pBdr>
        <w:spacing w:after="0" w:line="240" w:lineRule="auto"/>
        <w:rPr>
          <w:color w:val="000000"/>
          <w:sz w:val="20"/>
          <w:szCs w:val="20"/>
          <w:lang w:val="en-US"/>
        </w:rPr>
      </w:pPr>
      <w:r>
        <w:rPr>
          <w:vertAlign w:val="superscript"/>
        </w:rPr>
        <w:footnoteRef/>
      </w:r>
      <w:r w:rsidRPr="00584831">
        <w:rPr>
          <w:color w:val="000000"/>
          <w:sz w:val="20"/>
          <w:szCs w:val="20"/>
          <w:lang w:val="en-US"/>
        </w:rPr>
        <w:t xml:space="preserve"> </w:t>
      </w:r>
      <w:hyperlink r:id="rId6">
        <w:r w:rsidRPr="00584831">
          <w:rPr>
            <w:color w:val="0000FF"/>
            <w:sz w:val="20"/>
            <w:szCs w:val="20"/>
            <w:u w:val="single"/>
            <w:lang w:val="en-US"/>
          </w:rPr>
          <w:t>https://datos.bancomundial.org/indicator/FP.CPI.TOTL.ZG</w:t>
        </w:r>
      </w:hyperlink>
      <w:r w:rsidRPr="00584831">
        <w:rPr>
          <w:color w:val="000000"/>
          <w:sz w:val="20"/>
          <w:szCs w:val="20"/>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87FF7" w14:textId="77777777" w:rsidR="008C4E6D" w:rsidRDefault="007C009E">
    <w:pPr>
      <w:spacing w:after="0"/>
      <w:rPr>
        <w:rFonts w:ascii="Arial" w:eastAsia="Arial" w:hAnsi="Arial" w:cs="Arial"/>
        <w:sz w:val="14"/>
        <w:szCs w:val="14"/>
      </w:rPr>
    </w:pPr>
    <w:r>
      <w:rPr>
        <w:rFonts w:ascii="Arial" w:eastAsia="Arial" w:hAnsi="Arial" w:cs="Arial"/>
        <w:sz w:val="14"/>
        <w:szCs w:val="14"/>
      </w:rPr>
      <w:t>Observatorio de</w:t>
    </w:r>
    <w:r>
      <w:rPr>
        <w:noProof/>
      </w:rPr>
      <w:drawing>
        <wp:anchor distT="114300" distB="114300" distL="114300" distR="114300" simplePos="0" relativeHeight="251658240" behindDoc="0" locked="0" layoutInCell="1" hidden="0" allowOverlap="1" wp14:anchorId="086D76F1" wp14:editId="6A78BD69">
          <wp:simplePos x="0" y="0"/>
          <wp:positionH relativeFrom="column">
            <wp:posOffset>1</wp:posOffset>
          </wp:positionH>
          <wp:positionV relativeFrom="paragraph">
            <wp:posOffset>-19049</wp:posOffset>
          </wp:positionV>
          <wp:extent cx="519113" cy="519113"/>
          <wp:effectExtent l="0" t="0" r="0" b="0"/>
          <wp:wrapSquare wrapText="bothSides" distT="114300" distB="114300" distL="114300" distR="11430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19113" cy="519113"/>
                  </a:xfrm>
                  <a:prstGeom prst="rect">
                    <a:avLst/>
                  </a:prstGeom>
                  <a:ln/>
                </pic:spPr>
              </pic:pic>
            </a:graphicData>
          </a:graphic>
        </wp:anchor>
      </w:drawing>
    </w:r>
  </w:p>
  <w:p w14:paraId="6181F1F5" w14:textId="77777777" w:rsidR="008C4E6D" w:rsidRDefault="007C009E">
    <w:pPr>
      <w:spacing w:after="0"/>
      <w:rPr>
        <w:rFonts w:ascii="Arial" w:eastAsia="Arial" w:hAnsi="Arial" w:cs="Arial"/>
        <w:sz w:val="14"/>
        <w:szCs w:val="14"/>
      </w:rPr>
    </w:pPr>
    <w:proofErr w:type="spellStart"/>
    <w:r>
      <w:rPr>
        <w:rFonts w:ascii="Arial" w:eastAsia="Arial" w:hAnsi="Arial" w:cs="Arial"/>
        <w:sz w:val="14"/>
        <w:szCs w:val="14"/>
      </w:rPr>
      <w:t>Economìa</w:t>
    </w:r>
    <w:proofErr w:type="spellEnd"/>
    <w:r>
      <w:rPr>
        <w:rFonts w:ascii="Arial" w:eastAsia="Arial" w:hAnsi="Arial" w:cs="Arial"/>
        <w:sz w:val="14"/>
        <w:szCs w:val="14"/>
      </w:rPr>
      <w:t xml:space="preserve"> </w:t>
    </w:r>
    <w:proofErr w:type="spellStart"/>
    <w:r>
      <w:rPr>
        <w:rFonts w:ascii="Arial" w:eastAsia="Arial" w:hAnsi="Arial" w:cs="Arial"/>
        <w:sz w:val="14"/>
        <w:szCs w:val="14"/>
      </w:rPr>
      <w:t>Polìtica</w:t>
    </w:r>
    <w:proofErr w:type="spellEnd"/>
    <w:r>
      <w:rPr>
        <w:rFonts w:ascii="Arial" w:eastAsia="Arial" w:hAnsi="Arial" w:cs="Arial"/>
        <w:sz w:val="14"/>
        <w:szCs w:val="14"/>
      </w:rPr>
      <w:t xml:space="preserve"> y Social</w:t>
    </w:r>
  </w:p>
  <w:p w14:paraId="512C2BEE" w14:textId="77777777" w:rsidR="008C4E6D" w:rsidRDefault="007C009E">
    <w:pPr>
      <w:spacing w:after="0"/>
    </w:pPr>
    <w:r>
      <w:rPr>
        <w:rFonts w:ascii="Arial" w:eastAsia="Arial" w:hAnsi="Arial" w:cs="Arial"/>
        <w:b/>
      </w:rPr>
      <w:t>Marcelo t. de Alvear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E6D"/>
    <w:rsid w:val="00584831"/>
    <w:rsid w:val="007C009E"/>
    <w:rsid w:val="008C4E6D"/>
    <w:rsid w:val="00D565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AB53C"/>
  <w15:docId w15:val="{9C0BAED9-27F9-454E-A534-0A9708D3D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B42"/>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0D70B9"/>
    <w:pPr>
      <w:ind w:left="720"/>
      <w:contextualSpacing/>
    </w:pPr>
  </w:style>
  <w:style w:type="paragraph" w:styleId="Textonotapie">
    <w:name w:val="footnote text"/>
    <w:basedOn w:val="Normal"/>
    <w:link w:val="TextonotapieCar"/>
    <w:uiPriority w:val="99"/>
    <w:semiHidden/>
    <w:unhideWhenUsed/>
    <w:rsid w:val="006F57C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57C2"/>
    <w:rPr>
      <w:sz w:val="20"/>
      <w:szCs w:val="20"/>
    </w:rPr>
  </w:style>
  <w:style w:type="character" w:styleId="Refdenotaalpie">
    <w:name w:val="footnote reference"/>
    <w:basedOn w:val="Fuentedeprrafopredeter"/>
    <w:uiPriority w:val="99"/>
    <w:semiHidden/>
    <w:unhideWhenUsed/>
    <w:rsid w:val="006F57C2"/>
    <w:rPr>
      <w:vertAlign w:val="superscript"/>
    </w:rPr>
  </w:style>
  <w:style w:type="paragraph" w:styleId="Textodeglobo">
    <w:name w:val="Balloon Text"/>
    <w:basedOn w:val="Normal"/>
    <w:link w:val="TextodegloboCar"/>
    <w:uiPriority w:val="99"/>
    <w:semiHidden/>
    <w:unhideWhenUsed/>
    <w:rsid w:val="001D00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002"/>
    <w:rPr>
      <w:rFonts w:ascii="Tahoma" w:hAnsi="Tahoma" w:cs="Tahoma"/>
      <w:sz w:val="16"/>
      <w:szCs w:val="16"/>
    </w:rPr>
  </w:style>
  <w:style w:type="paragraph" w:styleId="Sinespaciado">
    <w:name w:val="No Spacing"/>
    <w:uiPriority w:val="1"/>
    <w:qFormat/>
    <w:rsid w:val="00CC3B8B"/>
    <w:pPr>
      <w:spacing w:after="0" w:line="240" w:lineRule="auto"/>
    </w:pPr>
  </w:style>
  <w:style w:type="character" w:styleId="Hipervnculo">
    <w:name w:val="Hyperlink"/>
    <w:basedOn w:val="Fuentedeprrafopredeter"/>
    <w:uiPriority w:val="99"/>
    <w:unhideWhenUsed/>
    <w:rsid w:val="00D55D8E"/>
    <w:rPr>
      <w:color w:val="0000FF" w:themeColor="hyperlink"/>
      <w:u w:val="single"/>
    </w:rPr>
  </w:style>
  <w:style w:type="character" w:styleId="Refdecomentario">
    <w:name w:val="annotation reference"/>
    <w:basedOn w:val="Fuentedeprrafopredeter"/>
    <w:uiPriority w:val="99"/>
    <w:semiHidden/>
    <w:unhideWhenUsed/>
    <w:rsid w:val="00881D78"/>
    <w:rPr>
      <w:sz w:val="16"/>
      <w:szCs w:val="16"/>
    </w:rPr>
  </w:style>
  <w:style w:type="paragraph" w:styleId="Textocomentario">
    <w:name w:val="annotation text"/>
    <w:basedOn w:val="Normal"/>
    <w:link w:val="TextocomentarioCar"/>
    <w:uiPriority w:val="99"/>
    <w:semiHidden/>
    <w:unhideWhenUsed/>
    <w:rsid w:val="00881D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1D78"/>
    <w:rPr>
      <w:sz w:val="20"/>
      <w:szCs w:val="20"/>
    </w:rPr>
  </w:style>
  <w:style w:type="paragraph" w:styleId="Asuntodelcomentario">
    <w:name w:val="annotation subject"/>
    <w:basedOn w:val="Textocomentario"/>
    <w:next w:val="Textocomentario"/>
    <w:link w:val="AsuntodelcomentarioCar"/>
    <w:uiPriority w:val="99"/>
    <w:semiHidden/>
    <w:unhideWhenUsed/>
    <w:rsid w:val="00881D78"/>
    <w:rPr>
      <w:b/>
      <w:bCs/>
    </w:rPr>
  </w:style>
  <w:style w:type="character" w:customStyle="1" w:styleId="AsuntodelcomentarioCar">
    <w:name w:val="Asunto del comentario Car"/>
    <w:basedOn w:val="TextocomentarioCar"/>
    <w:link w:val="Asuntodelcomentario"/>
    <w:uiPriority w:val="99"/>
    <w:semiHidden/>
    <w:rsid w:val="00881D78"/>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dec.gob.ar/uploads/informesdeprensa/ipc_01_20578B3E8357.pdf" TargetMode="External"/><Relationship Id="rId2" Type="http://schemas.openxmlformats.org/officeDocument/2006/relationships/hyperlink" Target="https://www.cepal.org/sites/default/files/presentation/files/181116_extendidafinalconferencia_a_los_ministros_mineria_lima.pdf" TargetMode="External"/><Relationship Id="rId1" Type="http://schemas.openxmlformats.org/officeDocument/2006/relationships/hyperlink" Target="https://www.heritage.org/index/ranking" TargetMode="External"/><Relationship Id="rId6" Type="http://schemas.openxmlformats.org/officeDocument/2006/relationships/hyperlink" Target="https://datos.bancomundial.org/indicator/FP.CPI.TOTL.ZG" TargetMode="External"/><Relationship Id="rId5" Type="http://schemas.openxmlformats.org/officeDocument/2006/relationships/hyperlink" Target="https://www.bcrp.gob.pe/publicaciones/reporte-de-inflacion.html" TargetMode="External"/><Relationship Id="rId4" Type="http://schemas.openxmlformats.org/officeDocument/2006/relationships/hyperlink" Target="https://www.inflation.eu/es/tasas-de-inflacion/chile/inflacion-historica/ipc-inflacion-chile-2019.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a:pPr>
            <a:r>
              <a:rPr lang="es-AR"/>
              <a:t>Exportaciones de productos mineros en  millones de dólares</a:t>
            </a:r>
          </a:p>
        </c:rich>
      </c:tx>
      <c:overlay val="0"/>
    </c:title>
    <c:autoTitleDeleted val="0"/>
    <c:plotArea>
      <c:layout/>
      <c:barChart>
        <c:barDir val="col"/>
        <c:grouping val="clustered"/>
        <c:varyColors val="0"/>
        <c:ser>
          <c:idx val="0"/>
          <c:order val="0"/>
          <c:tx>
            <c:strRef>
              <c:f>Hoja1!$B$1</c:f>
              <c:strCache>
                <c:ptCount val="1"/>
                <c:pt idx="0">
                  <c:v>Serie 1</c:v>
                </c:pt>
              </c:strCache>
            </c:strRef>
          </c:tx>
          <c:invertIfNegative val="0"/>
          <c:dLbls>
            <c:spPr>
              <a:noFill/>
              <a:ln>
                <a:noFill/>
              </a:ln>
              <a:effectLst/>
            </c:spPr>
            <c:txPr>
              <a:bodyPr/>
              <a:lstStyle/>
              <a:p>
                <a:pPr>
                  <a:defRPr b="1"/>
                </a:pPr>
                <a:endParaRPr lang="es-A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Hoja1!$A$2:$A$5</c:f>
              <c:strCache>
                <c:ptCount val="4"/>
                <c:pt idx="0">
                  <c:v>Argentina</c:v>
                </c:pt>
                <c:pt idx="1">
                  <c:v>Australia</c:v>
                </c:pt>
                <c:pt idx="2">
                  <c:v>Chile</c:v>
                </c:pt>
                <c:pt idx="3">
                  <c:v>Perú</c:v>
                </c:pt>
              </c:strCache>
            </c:strRef>
          </c:cat>
          <c:val>
            <c:numRef>
              <c:f>Hoja1!$B$2:$B$5</c:f>
              <c:numCache>
                <c:formatCode>General</c:formatCode>
                <c:ptCount val="4"/>
                <c:pt idx="0">
                  <c:v>3.2</c:v>
                </c:pt>
                <c:pt idx="1">
                  <c:v>132.69999999999999</c:v>
                </c:pt>
                <c:pt idx="2">
                  <c:v>36.299999999999997</c:v>
                </c:pt>
                <c:pt idx="3">
                  <c:v>27.1</c:v>
                </c:pt>
              </c:numCache>
            </c:numRef>
          </c:val>
          <c:extLst>
            <c:ext xmlns:c16="http://schemas.microsoft.com/office/drawing/2014/chart" uri="{C3380CC4-5D6E-409C-BE32-E72D297353CC}">
              <c16:uniqueId val="{00000000-8231-42F9-87D2-C7B09261B616}"/>
            </c:ext>
          </c:extLst>
        </c:ser>
        <c:dLbls>
          <c:showLegendKey val="0"/>
          <c:showVal val="0"/>
          <c:showCatName val="0"/>
          <c:showSerName val="0"/>
          <c:showPercent val="0"/>
          <c:showBubbleSize val="0"/>
        </c:dLbls>
        <c:gapWidth val="75"/>
        <c:overlap val="40"/>
        <c:axId val="220660864"/>
        <c:axId val="220662400"/>
      </c:barChart>
      <c:catAx>
        <c:axId val="220660864"/>
        <c:scaling>
          <c:orientation val="minMax"/>
        </c:scaling>
        <c:delete val="0"/>
        <c:axPos val="b"/>
        <c:numFmt formatCode="General" sourceLinked="0"/>
        <c:majorTickMark val="none"/>
        <c:minorTickMark val="none"/>
        <c:tickLblPos val="nextTo"/>
        <c:txPr>
          <a:bodyPr/>
          <a:lstStyle/>
          <a:p>
            <a:pPr>
              <a:defRPr b="1"/>
            </a:pPr>
            <a:endParaRPr lang="es-AR"/>
          </a:p>
        </c:txPr>
        <c:crossAx val="220662400"/>
        <c:crosses val="autoZero"/>
        <c:auto val="1"/>
        <c:lblAlgn val="ctr"/>
        <c:lblOffset val="100"/>
        <c:noMultiLvlLbl val="0"/>
      </c:catAx>
      <c:valAx>
        <c:axId val="220662400"/>
        <c:scaling>
          <c:orientation val="minMax"/>
        </c:scaling>
        <c:delete val="0"/>
        <c:axPos val="l"/>
        <c:majorGridlines/>
        <c:numFmt formatCode="General" sourceLinked="1"/>
        <c:majorTickMark val="none"/>
        <c:minorTickMark val="none"/>
        <c:tickLblPos val="nextTo"/>
        <c:txPr>
          <a:bodyPr/>
          <a:lstStyle/>
          <a:p>
            <a:pPr>
              <a:defRPr b="1"/>
            </a:pPr>
            <a:endParaRPr lang="es-AR"/>
          </a:p>
        </c:txPr>
        <c:crossAx val="22066086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xkYdv3QMNhe+qE0jrPPojlX88w==">AMUW2mWS7VO0mRPVwOxVW0XeVhZaU+SfMYKO2oMaa7yULX6nqcA9sMzT8hfAKefJU/8c7gSqZrHU9EjjF/cI+b7GaF+PZsMGkGjJ62QJe53DvA6L5aiG60RjVWWKPsT/K92cfixsxgf1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1138</Words>
  <Characters>6264</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Hacedor</cp:lastModifiedBy>
  <cp:revision>3</cp:revision>
  <dcterms:created xsi:type="dcterms:W3CDTF">2020-09-18T02:34:00Z</dcterms:created>
  <dcterms:modified xsi:type="dcterms:W3CDTF">2020-09-28T22:19:00Z</dcterms:modified>
</cp:coreProperties>
</file>