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3365" w:right="3368"/>
        <w:jc w:val="center"/>
      </w:pPr>
      <w:r>
        <w:t>小行星2023</w:t>
      </w:r>
    </w:p>
    <w:p>
      <w:pPr>
        <w:spacing w:before="0"/>
        <w:ind w:left="3366" w:right="3368" w:firstLine="0"/>
        <w:jc w:val="center"/>
        <w:rPr>
          <w:b/>
          <w:sz w:val="24"/>
        </w:rPr>
        <w:pStyle w:val="P68B1DB1-Normal1"/>
      </w:pPr>
      <w:r>
        <w:t>问题E：光</w:t>
      </w:r>
      <w:r>
        <w:t>污染</w:t>
      </w:r>
    </w:p>
    <w:p>
      <w:pPr>
        <w:pStyle w:val="BodyText"/>
        <w:spacing w:before="8"/>
        <w:rPr>
          <w:b/>
          <w:sz w:val="20"/>
        </w:rPr>
      </w:pPr>
      <w:r>
        <w:drawing>
          <wp:anchor distT="0" distB="0" distL="0" distR="0" allowOverlap="1" layoutInCell="1" locked="0" behindDoc="0" simplePos="0" relativeHeight="0">
            <wp:simplePos x="0" y="0"/>
            <wp:positionH relativeFrom="page">
              <wp:posOffset>2734056</wp:posOffset>
            </wp:positionH>
            <wp:positionV relativeFrom="paragraph">
              <wp:posOffset>175924</wp:posOffset>
            </wp:positionV>
            <wp:extent cx="2293616" cy="171830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293616" cy="1718309"/>
                    </a:xfrm>
                    <a:prstGeom prst="rect">
                      <a:avLst/>
                    </a:prstGeom>
                  </pic:spPr>
                </pic:pic>
              </a:graphicData>
            </a:graphic>
          </wp:anchor>
        </w:drawing>
      </w:r>
    </w:p>
    <w:p>
      <w:pPr>
        <w:spacing w:before="0"/>
        <w:ind w:left="3366" w:right="3366" w:firstLine="0"/>
        <w:jc w:val="center"/>
        <w:rPr>
          <w:b/>
          <w:sz w:val="10"/>
        </w:rPr>
        <w:pStyle w:val="P68B1DB1-Normal2"/>
      </w:pPr>
      <w:r>
        <w:t>图片来源：好的。</w:t>
      </w:r>
      <w:r>
        <w:rPr>
          <w:spacing w:val="-3"/>
        </w:rPr>
        <w:t xml:space="preserve"> </w:t>
      </w:r>
      <w:r>
        <w:t>布莱曼</w:t>
      </w:r>
    </w:p>
    <w:p>
      <w:pPr>
        <w:pStyle w:val="BodyText"/>
        <w:rPr>
          <w:b/>
          <w:sz w:val="10"/>
        </w:rPr>
      </w:pPr>
    </w:p>
    <w:p>
      <w:pPr>
        <w:pStyle w:val="BodyText"/>
        <w:spacing w:before="8"/>
        <w:rPr>
          <w:b/>
          <w:sz w:val="11"/>
        </w:rPr>
      </w:pPr>
    </w:p>
    <w:p>
      <w:pPr>
        <w:pStyle w:val="Heading1"/>
      </w:pPr>
      <w:r>
        <w:t>背景</w:t>
      </w:r>
    </w:p>
    <w:p>
      <w:pPr>
        <w:pStyle w:val="BodyText"/>
        <w:ind w:left="100" w:right="184"/>
      </w:pPr>
      <w:r>
        <w:t>光污染是用来形容任何过度或不当使用</w:t>
      </w:r>
      <w:r>
        <w:rPr>
          <w:b/>
        </w:rPr>
        <w:t>人造光</w:t>
      </w:r>
      <w:r>
        <w:t>。我们称之为光污染的一些现象包括</w:t>
      </w:r>
      <w:r>
        <w:rPr>
          <w:b/>
        </w:rPr>
        <w:t>光侵入</w:t>
      </w:r>
      <w:r>
        <w:t>、</w:t>
      </w:r>
      <w:r>
        <w:rPr>
          <w:b/>
        </w:rPr>
        <w:t>过度照明</w:t>
      </w:r>
      <w:r>
        <w:t>和</w:t>
      </w:r>
      <w:r>
        <w:rPr>
          <w:b/>
        </w:rPr>
        <w:t>光杂波</w:t>
      </w:r>
      <w:r>
        <w:t>。在大城市里，太阳落山后，天空中出现的辉光是最容易观察到的现象</w:t>
      </w:r>
      <w:r>
        <w:t>;然而，它们也可能发生在较偏远</w:t>
      </w:r>
      <w:r>
        <w:rPr>
          <w:spacing w:val="-19"/>
        </w:rPr>
        <w:t>的</w:t>
      </w:r>
      <w:r>
        <w:t>地区。</w:t>
      </w:r>
    </w:p>
    <w:p>
      <w:pPr>
        <w:pStyle w:val="BodyText"/>
      </w:pPr>
    </w:p>
    <w:p>
      <w:pPr>
        <w:pStyle w:val="BodyText"/>
        <w:ind w:left="100" w:right="153"/>
      </w:pPr>
      <w:r>
        <w:t>光污染改变了我们对夜空的看法，对环境造成影响，并影响我们</w:t>
      </w:r>
      <w:r>
        <w:rPr>
          <w:spacing w:val="-32"/>
        </w:rPr>
        <w:t>的</w:t>
      </w:r>
      <w:r>
        <w:t>健康和安全。例如，植物成熟可能会推迟或加快，野生动物的迁徙模式也会受到影响。过多的人造光可能会扰乱我们</w:t>
      </w:r>
      <w:r>
        <w:rPr>
          <w:b/>
        </w:rPr>
        <w:t>的昼夜节律，</w:t>
      </w:r>
      <w:r>
        <w:t>导致睡眠质量下降，甚至可能引发身心健康问题。</w:t>
      </w:r>
      <w:r>
        <w:rPr>
          <w:b/>
        </w:rPr>
        <w:t>由</w:t>
      </w:r>
      <w:r>
        <w:t xml:space="preserve"> 人造光引起的眩光可能导致一些机动车</w:t>
      </w:r>
      <w:r>
        <w:t>事故。</w:t>
      </w:r>
    </w:p>
    <w:p>
      <w:pPr>
        <w:pStyle w:val="BodyText"/>
      </w:pPr>
    </w:p>
    <w:p>
      <w:pPr>
        <w:pStyle w:val="BodyText"/>
        <w:ind w:left="100" w:right="117"/>
      </w:pPr>
      <w:r>
        <w:t>社区官员或地方团体可以实施</w:t>
      </w:r>
      <w:r>
        <w:rPr>
          <w:b/>
        </w:rPr>
        <w:t>干预策略</w:t>
      </w:r>
      <w:r>
        <w:t>来减轻光污染的负面影响。然而，人造光既有积极的影响，也有消极的影响，以不同的方式影响不同的地点。例如，为了避免上面列出的光污染的负面影响，一些社区选择低光社区</w:t>
      </w:r>
      <w:r>
        <w:t>，这反过来可能导致犯罪增加。光污染的影响可能取决于诸如位置的发展水平、人口、生物多样性、地理和气候等因素</w:t>
      </w:r>
      <w:r>
        <w:t>。</w:t>
      </w:r>
    </w:p>
    <w:p>
      <w:pPr>
        <w:pStyle w:val="BodyText"/>
        <w:spacing w:before="1"/>
        <w:ind w:left="100"/>
      </w:pPr>
      <w:r>
        <w:t>因此，评估任何干预战略的影响程度和潜在影响</w:t>
      </w:r>
      <w:r>
        <w:t>必须针对具体</w:t>
      </w:r>
      <w:r>
        <w:t>地点。</w:t>
      </w:r>
    </w:p>
    <w:p>
      <w:pPr>
        <w:pStyle w:val="BodyText"/>
        <w:spacing w:before="11"/>
        <w:rPr>
          <w:sz w:val="23"/>
        </w:rPr>
      </w:pPr>
    </w:p>
    <w:p>
      <w:pPr>
        <w:pStyle w:val="Heading1"/>
      </w:pPr>
      <w:r>
        <w:t>要求</w:t>
      </w:r>
    </w:p>
    <w:p>
      <w:pPr>
        <w:pStyle w:val="BodyText"/>
        <w:ind w:left="100" w:right="184"/>
      </w:pPr>
      <w:r>
        <w:t>COMAP的照明控制任务（ICM）正在努力提高人们对光污染影响的认识，并制定干预战略来减轻这些影响。为了支持</w:t>
      </w:r>
      <w:r>
        <w:t>ICM的工作，你的任务是解决测量和减轻不同地点光污染的影响，包括人类和非人类的关注。具体而言，您</w:t>
      </w:r>
      <w:r>
        <w:t>应该：</w:t>
      </w:r>
    </w:p>
    <w:p>
      <w:pPr>
        <w:pStyle w:val="BodyText"/>
      </w:pP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制定一个广泛适用的指标来确定一个位置的光污染风险水平</w:t>
      </w:r>
      <w:r>
        <w:t>。</w:t>
      </w:r>
    </w:p>
    <w:p>
      <w:pPr>
        <w:pStyle w:val="BodyText"/>
      </w:pPr>
    </w:p>
    <w:p>
      <w:pPr>
        <w:pStyle w:val="P68B1DB1-ListParagraph3"/>
        <w:numPr>
          <w:ilvl w:val="0"/>
          <w:numId w:val="1"/>
        </w:numPr>
        <w:tabs>
          <w:tab w:pos="819" w:val="left" w:leader="none"/>
          <w:tab w:pos="820" w:val="left" w:leader="none"/>
        </w:tabs>
        <w:spacing w:line="240" w:lineRule="auto" w:before="0" w:after="0"/>
        <w:ind w:left="820" w:right="1038" w:hanging="360"/>
        <w:jc w:val="left"/>
        <w:rPr>
          <w:rFonts w:ascii="Symbol" w:hAnsi="Symbol"/>
          <w:sz w:val="20"/>
        </w:rPr>
      </w:pPr>
      <w:r>
        <w:t>在以下四种不同类型的地点应用您的指标并解释其结果</w:t>
      </w:r>
      <w:r>
        <w:t>：</w:t>
      </w:r>
    </w:p>
    <w:p>
      <w:pPr>
        <w:pStyle w:val="P68B1DB1-ListParagraph3"/>
        <w:numPr>
          <w:ilvl w:val="1"/>
          <w:numId w:val="1"/>
        </w:numPr>
        <w:tabs>
          <w:tab w:pos="1540" w:val="left" w:leader="none"/>
        </w:tabs>
        <w:spacing w:line="280" w:lineRule="exact" w:before="0" w:after="0"/>
        <w:ind w:left="1540" w:right="0" w:hanging="360"/>
        <w:jc w:val="left"/>
        <w:rPr>
          <w:sz w:val="24"/>
        </w:rPr>
      </w:pPr>
      <w:r>
        <w:t xml:space="preserve">受 </w:t>
      </w:r>
      <w:r>
        <w:rPr>
          <w:b/>
        </w:rPr>
        <w:t>保护的陆地</w:t>
      </w:r>
      <w:r>
        <w:t>位置，</w:t>
      </w:r>
    </w:p>
    <w:p>
      <w:pPr>
        <w:pStyle w:val="Heading1"/>
        <w:numPr>
          <w:ilvl w:val="1"/>
          <w:numId w:val="1"/>
        </w:numPr>
        <w:tabs>
          <w:tab w:pos="1540" w:val="left" w:leader="none"/>
        </w:tabs>
        <w:spacing w:line="276" w:lineRule="exact" w:before="0" w:after="0"/>
        <w:ind w:left="1540" w:right="0" w:hanging="360"/>
        <w:jc w:val="left"/>
        <w:rPr>
          <w:b w:val="0"/>
        </w:rPr>
      </w:pPr>
      <w:r>
        <w:rPr>
          <w:b w:val="0"/>
        </w:rPr>
        <w:t>一个</w:t>
      </w:r>
      <w:r>
        <w:t xml:space="preserve"> 乡村 </w:t>
      </w:r>
      <w:r>
        <w:rPr>
          <w:spacing w:val="-2"/>
        </w:rPr>
        <w:t xml:space="preserve"> </w:t>
      </w:r>
      <w:r>
        <w:t xml:space="preserve">社区 </w:t>
      </w:r>
      <w:r>
        <w:rPr>
          <w:b w:val="0"/>
        </w:rPr>
        <w:t>，</w:t>
      </w:r>
    </w:p>
    <w:p>
      <w:pPr>
        <w:pStyle w:val="P68B1DB1-ListParagraph3"/>
        <w:numPr>
          <w:ilvl w:val="1"/>
          <w:numId w:val="1"/>
        </w:numPr>
        <w:tabs>
          <w:tab w:pos="1540" w:val="left" w:leader="none"/>
        </w:tabs>
        <w:spacing w:line="276" w:lineRule="exact" w:before="0" w:after="0"/>
        <w:ind w:left="1540" w:right="0" w:hanging="360"/>
        <w:jc w:val="left"/>
        <w:rPr>
          <w:sz w:val="24"/>
        </w:rPr>
      </w:pPr>
      <w:r>
        <w:t xml:space="preserve">郊区 </w:t>
      </w:r>
      <w:r>
        <w:rPr>
          <w:b/>
        </w:rPr>
        <w:t>社区</w:t>
      </w:r>
      <w:r>
        <w:t xml:space="preserve"> ， </w:t>
      </w:r>
      <w:r>
        <w:rPr>
          <w:spacing w:val="-5"/>
        </w:rPr>
        <w:t xml:space="preserve"> </w:t>
      </w:r>
      <w:r>
        <w:t>以及</w:t>
      </w:r>
    </w:p>
    <w:p>
      <w:pPr>
        <w:pStyle w:val="Heading1"/>
        <w:numPr>
          <w:ilvl w:val="1"/>
          <w:numId w:val="1"/>
        </w:numPr>
        <w:tabs>
          <w:tab w:pos="1540" w:val="left" w:leader="none"/>
        </w:tabs>
        <w:spacing w:line="280" w:lineRule="exact" w:before="0" w:after="0"/>
        <w:ind w:left="1540" w:right="0" w:hanging="360"/>
        <w:jc w:val="left"/>
      </w:pPr>
      <w:r>
        <w:t xml:space="preserve">城市 </w:t>
      </w:r>
      <w:r>
        <w:rPr>
          <w:spacing w:val="-1"/>
        </w:rPr>
        <w:t xml:space="preserve"> </w:t>
      </w:r>
      <w:r>
        <w:t>社区</w:t>
      </w:r>
    </w:p>
    <w:p>
      <w:pPr>
        <w:spacing w:after="0" w:line="280" w:lineRule="exact"/>
        <w:jc w:val="left"/>
        <w:sectPr>
          <w:footerReference w:type="default" r:id="rId5"/>
          <w:type w:val="continuous"/>
          <w:pgSz w:w="12240" w:h="15840"/>
          <w:pgMar w:footer="740" w:top="640" w:bottom="940" w:left="1340" w:right="1340"/>
          <w:pgNumType w:start="1"/>
        </w:sectPr>
      </w:pPr>
    </w:p>
    <w:p>
      <w:pPr>
        <w:pStyle w:val="P68B1DB1-ListParagraph3"/>
        <w:numPr>
          <w:ilvl w:val="0"/>
          <w:numId w:val="1"/>
        </w:numPr>
        <w:tabs>
          <w:tab w:pos="819" w:val="left" w:leader="none"/>
          <w:tab w:pos="820" w:val="left" w:leader="none"/>
        </w:tabs>
        <w:spacing w:line="240" w:lineRule="auto" w:before="79" w:after="0"/>
        <w:ind w:left="820" w:right="200" w:hanging="360"/>
        <w:jc w:val="left"/>
        <w:rPr>
          <w:rFonts w:ascii="Symbol" w:hAnsi="Symbol"/>
          <w:sz w:val="20"/>
        </w:rPr>
      </w:pPr>
      <w:r>
        <w:t>描述解决光污染的三种可能的干预策略。讨论</w:t>
      </w:r>
      <w:r>
        <w:rPr>
          <w:spacing w:val="-27"/>
        </w:rPr>
        <w:t xml:space="preserve"> </w:t>
      </w:r>
      <w:r>
        <w:t>实施每项策略的具体行动以及这些行动对一般光污染影响的潜在影响</w:t>
      </w:r>
      <w:r>
        <w:t>。</w:t>
      </w:r>
    </w:p>
    <w:p>
      <w:pPr>
        <w:pStyle w:val="BodyText"/>
      </w:pPr>
    </w:p>
    <w:p>
      <w:pPr>
        <w:pStyle w:val="P68B1DB1-ListParagraph3"/>
        <w:numPr>
          <w:ilvl w:val="0"/>
          <w:numId w:val="1"/>
        </w:numPr>
        <w:tabs>
          <w:tab w:pos="819" w:val="left" w:leader="none"/>
          <w:tab w:pos="820" w:val="left" w:leader="none"/>
        </w:tabs>
        <w:spacing w:line="240" w:lineRule="auto" w:before="0" w:after="0"/>
        <w:ind w:left="820" w:right="917" w:hanging="360"/>
        <w:jc w:val="left"/>
        <w:rPr>
          <w:rFonts w:ascii="Symbol" w:hAnsi="Symbol"/>
          <w:sz w:val="20"/>
        </w:rPr>
      </w:pPr>
      <w:r>
        <w:t>选择你的两个地点，使用你的指标来确定你的干预策略对每个地点最有效。讨论所选择的</w:t>
      </w:r>
      <w:r>
        <w:t>干预策略如何影响该位置的风险水平</w:t>
      </w:r>
      <w:r>
        <w:t>。</w:t>
      </w:r>
    </w:p>
    <w:p>
      <w:pPr>
        <w:pStyle w:val="BodyText"/>
        <w:spacing w:before="11"/>
        <w:rPr>
          <w:sz w:val="23"/>
        </w:rPr>
      </w:pPr>
    </w:p>
    <w:p>
      <w:pPr>
        <w:pStyle w:val="P68B1DB1-ListParagraph3"/>
        <w:numPr>
          <w:ilvl w:val="0"/>
          <w:numId w:val="1"/>
        </w:numPr>
        <w:tabs>
          <w:tab w:pos="819" w:val="left" w:leader="none"/>
          <w:tab w:pos="820" w:val="left" w:leader="none"/>
        </w:tabs>
        <w:spacing w:line="240" w:lineRule="auto" w:before="0" w:after="0"/>
        <w:ind w:left="820" w:right="360" w:hanging="360"/>
        <w:jc w:val="left"/>
        <w:rPr>
          <w:rFonts w:ascii="Symbol" w:hAnsi="Symbol"/>
          <w:sz w:val="24"/>
        </w:rPr>
      </w:pPr>
      <w:r>
        <w:t>最后，针对你确定的一个地点及其最有效的干预</w:t>
      </w:r>
      <w:r>
        <w:t>策略，制作一页宣传单来推广该地点的策略</w:t>
      </w:r>
      <w:r>
        <w:t>。</w:t>
      </w:r>
    </w:p>
    <w:p>
      <w:pPr>
        <w:pStyle w:val="BodyText"/>
        <w:spacing w:before="11"/>
        <w:rPr>
          <w:sz w:val="23"/>
        </w:rPr>
      </w:pPr>
    </w:p>
    <w:p>
      <w:pPr>
        <w:pStyle w:val="BodyText"/>
        <w:ind w:left="100"/>
      </w:pPr>
      <w:r>
        <w:t>总页数不超过25页的PDF解决方案应</w:t>
      </w:r>
      <w:r>
        <w:t>包括：</w:t>
      </w: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一页总结</w:t>
      </w:r>
      <w:r>
        <w:t>表。</w:t>
      </w: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目录</w:t>
      </w:r>
      <w:r>
        <w:rPr>
          <w:spacing w:val="-6"/>
        </w:rPr>
        <w:t xml:space="preserve"> </w:t>
      </w:r>
      <w:r>
        <w:t>。</w:t>
      </w: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您的完整</w:t>
      </w:r>
      <w:r>
        <w:t>解决方案。</w:t>
      </w: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一页的宣传</w:t>
      </w:r>
      <w:r>
        <w:t>单。</w:t>
      </w:r>
    </w:p>
    <w:p>
      <w:pPr>
        <w:pStyle w:val="P68B1DB1-ListParagraph3"/>
        <w:numPr>
          <w:ilvl w:val="0"/>
          <w:numId w:val="1"/>
        </w:numPr>
        <w:tabs>
          <w:tab w:pos="819" w:val="left" w:leader="none"/>
          <w:tab w:pos="820" w:val="left" w:leader="none"/>
        </w:tabs>
        <w:spacing w:line="240" w:lineRule="auto" w:before="0" w:after="0"/>
        <w:ind w:left="820" w:right="0" w:hanging="360"/>
        <w:jc w:val="left"/>
        <w:rPr>
          <w:rFonts w:ascii="Symbol" w:hAnsi="Symbol"/>
          <w:sz w:val="20"/>
        </w:rPr>
      </w:pPr>
      <w:r>
        <w:t>参考</w:t>
      </w:r>
      <w:r>
        <w:rPr>
          <w:spacing w:val="-6"/>
        </w:rPr>
        <w:t xml:space="preserve"> </w:t>
      </w:r>
      <w:r>
        <w:t>列表。</w:t>
      </w:r>
    </w:p>
    <w:p>
      <w:pPr>
        <w:pStyle w:val="BodyText"/>
      </w:pPr>
    </w:p>
    <w:p>
      <w:pPr>
        <w:pStyle w:val="BodyText"/>
        <w:ind w:left="100"/>
      </w:pPr>
      <w:r>
        <w:t>注意：ICM竞赛有25页的限制。您提交的所有方面都将</w:t>
      </w:r>
      <w:r>
        <w:t>计入</w:t>
      </w:r>
    </w:p>
    <w:p>
      <w:pPr>
        <w:pStyle w:val="BodyText"/>
        <w:ind w:left="100" w:right="184"/>
      </w:pPr>
      <w:r>
        <w:t>25-页数限制（汇总表、目录、报告、单页宣传单、</w:t>
      </w:r>
      <w:r>
        <w:t>参考列表和任何附录）。你必须引用你的想法、图片和报告中使用的任何其他材料的来源</w:t>
      </w:r>
      <w:r>
        <w:t>。</w:t>
      </w:r>
    </w:p>
    <w:p>
      <w:pPr>
        <w:pStyle w:val="BodyText"/>
      </w:pPr>
    </w:p>
    <w:p>
      <w:pPr>
        <w:pStyle w:val="Heading1"/>
      </w:pPr>
      <w:r>
        <w:t>词汇表</w:t>
      </w:r>
    </w:p>
    <w:p>
      <w:pPr>
        <w:pStyle w:val="BodyText"/>
        <w:rPr>
          <w:b/>
        </w:rPr>
      </w:pPr>
    </w:p>
    <w:p>
      <w:pPr>
        <w:spacing w:before="0"/>
        <w:ind w:left="100" w:right="0" w:firstLine="0"/>
        <w:jc w:val="left"/>
        <w:rPr>
          <w:sz w:val="24"/>
        </w:rPr>
        <w:pStyle w:val="P68B1DB1-Normal4"/>
      </w:pPr>
      <w:r>
        <w:rPr>
          <w:b/>
        </w:rPr>
        <w:t xml:space="preserve">人造光： 任何</w:t>
      </w:r>
      <w:r>
        <w:t>非自然产生的</w:t>
      </w:r>
      <w:r>
        <w:t>光源。</w:t>
      </w:r>
    </w:p>
    <w:p>
      <w:pPr>
        <w:pStyle w:val="BodyText"/>
        <w:ind w:left="100" w:right="970"/>
      </w:pPr>
      <w:r>
        <w:rPr>
          <w:b/>
        </w:rPr>
        <w:t xml:space="preserve">昼夜节律： 人类</w:t>
      </w:r>
      <w:r>
        <w:t xml:space="preserve"> 和其他生物体的自然24小时睡眠-觉醒周期</w:t>
      </w:r>
      <w:r>
        <w:t>。</w:t>
      </w:r>
    </w:p>
    <w:p>
      <w:pPr>
        <w:pStyle w:val="BodyText"/>
        <w:ind w:left="100"/>
      </w:pPr>
      <w:r>
        <w:rPr>
          <w:b/>
        </w:rPr>
        <w:t>眩光：</w:t>
      </w:r>
      <w:r>
        <w:t xml:space="preserve"> 过度的亮度，降低人的视觉能力</w:t>
      </w:r>
      <w:r>
        <w:t>。</w:t>
      </w:r>
    </w:p>
    <w:p>
      <w:pPr>
        <w:spacing w:before="0"/>
        <w:ind w:left="100" w:right="719" w:firstLine="0"/>
        <w:jc w:val="left"/>
        <w:rPr>
          <w:sz w:val="24"/>
        </w:rPr>
        <w:pStyle w:val="P68B1DB1-Normal4"/>
      </w:pPr>
      <w:r>
        <w:rPr>
          <w:b/>
        </w:rPr>
        <w:t xml:space="preserve">干预策略： 可以</w:t>
      </w:r>
      <w:r>
        <w:t xml:space="preserve"> 采取哪些政策和/或行动来消除光污染</w:t>
      </w:r>
      <w:r>
        <w:t>的负面影响</w:t>
      </w:r>
      <w:r>
        <w:t>。</w:t>
      </w:r>
    </w:p>
    <w:p>
      <w:pPr>
        <w:spacing w:before="0"/>
        <w:ind w:left="100" w:right="0" w:firstLine="0"/>
        <w:jc w:val="left"/>
        <w:rPr>
          <w:sz w:val="24"/>
        </w:rPr>
        <w:pStyle w:val="P68B1DB1-Normal4"/>
      </w:pPr>
      <w:r>
        <w:rPr>
          <w:b/>
        </w:rPr>
        <w:t>光杂波：灯光</w:t>
      </w:r>
      <w:r>
        <w:t>组合过多</w:t>
      </w:r>
      <w:r>
        <w:t>。</w:t>
      </w:r>
    </w:p>
    <w:p>
      <w:pPr>
        <w:spacing w:before="0"/>
        <w:ind w:left="100" w:right="0" w:firstLine="0"/>
        <w:jc w:val="left"/>
        <w:rPr>
          <w:sz w:val="24"/>
        </w:rPr>
        <w:pStyle w:val="P68B1DB1-Normal4"/>
      </w:pPr>
      <w:r>
        <w:rPr>
          <w:b/>
        </w:rPr>
        <w:t xml:space="preserve">轻度侵入： 当</w:t>
      </w:r>
      <w:r>
        <w:t>光线进入非预期区域时</w:t>
      </w:r>
      <w:r>
        <w:t>。</w:t>
      </w:r>
    </w:p>
    <w:p>
      <w:pPr>
        <w:pStyle w:val="BodyText"/>
        <w:ind w:left="100" w:right="916"/>
      </w:pPr>
      <w:r>
        <w:rPr>
          <w:b/>
        </w:rPr>
        <w:t xml:space="preserve">过度照明： 比</w:t>
      </w:r>
      <w:r>
        <w:t>活动或场所所需的强度更高的照明</w:t>
      </w:r>
      <w:r>
        <w:t>。</w:t>
      </w:r>
    </w:p>
    <w:p>
      <w:pPr>
        <w:pStyle w:val="BodyText"/>
        <w:ind w:left="100" w:right="509"/>
      </w:pPr>
      <w:r>
        <w:rPr>
          <w:b/>
        </w:rPr>
        <w:t xml:space="preserve">保护地： 政府</w:t>
      </w:r>
      <w:r>
        <w:t xml:space="preserve"> 或私人实体因</w:t>
      </w:r>
      <w:r>
        <w:t>其生态、文化和/或自然</w:t>
      </w:r>
      <w:r>
        <w:t>重要性而禁止开发的区域。</w:t>
      </w:r>
    </w:p>
    <w:p>
      <w:pPr>
        <w:pStyle w:val="BodyText"/>
        <w:ind w:left="100" w:right="184"/>
      </w:pPr>
      <w:r>
        <w:rPr>
          <w:b/>
        </w:rPr>
        <w:t xml:space="preserve">农村社区： 郊区</w:t>
      </w:r>
      <w:r>
        <w:t xml:space="preserve"> 位于一个国家或地区人口最少的地区之一的社区</w:t>
      </w:r>
      <w:r>
        <w:t>，从城市社区不易</w:t>
      </w:r>
      <w:r>
        <w:t>到达</w:t>
      </w:r>
    </w:p>
    <w:p>
      <w:pPr>
        <w:pStyle w:val="BodyText"/>
        <w:spacing w:before="1"/>
        <w:ind w:left="100" w:right="717"/>
      </w:pPr>
      <w:r>
        <w:rPr>
          <w:b/>
        </w:rPr>
        <w:t xml:space="preserve">郊区社区： 社区</w:t>
      </w:r>
      <w:r>
        <w:t xml:space="preserve"> 位于 </w:t>
      </w:r>
      <w:r>
        <w:rPr>
          <w:spacing w:val="-23"/>
        </w:rPr>
        <w:t xml:space="preserve"> </w:t>
      </w:r>
      <w:r>
        <w:t>一个国家或地区人口密度适中的地区或从城市社区容易到达</w:t>
      </w:r>
      <w:r>
        <w:t>的社区。</w:t>
      </w:r>
    </w:p>
    <w:p>
      <w:pPr>
        <w:pStyle w:val="BodyText"/>
        <w:ind w:left="100" w:right="184"/>
      </w:pPr>
      <w:r>
        <w:rPr>
          <w:b/>
        </w:rPr>
        <w:t xml:space="preserve">城市社区： 聚居</w:t>
      </w:r>
      <w:r>
        <w:t xml:space="preserve"> 区位于一个国家或地区人口最稠密地区之一的</w:t>
      </w:r>
      <w:r>
        <w:t>社区</w:t>
      </w:r>
    </w:p>
    <w:sectPr>
      <w:pgSz w:w="12240" w:h="15840"/>
      <w:pgMar w:header="0" w:footer="740" w:top="640" w:bottom="94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pict>
        <v:shapetype id="_x0000_t202" o:spt="202" coordsize="21600,21600" path="m,l,21600r21600,l21600,xe">
          <v:stroke joinstyle="miter"/>
          <v:path gradientshapeok="t" o:connecttype="rect"/>
        </v:shapetype>
        <v:shape style="position:absolute;margin-left:125.240005pt;margin-top:743.981323pt;width:361.2pt;height:13.05pt;mso-position-horizontal-relative:page;mso-position-vertical-relative:page;z-index:-15776768" type="#_x0000_t202" filled="false" stroked="false">
          <v:textbox inset="0,0,0,0">
            <w:txbxContent>
              <w:p>
                <w:pPr>
                  <w:spacing w:before="10"/>
                  <w:ind w:left="20" w:right="0" w:firstLine="0"/>
                  <w:jc w:val="left"/>
                  <w:rPr>
                    <w:sz w:val="20"/>
                  </w:rPr>
                  <w:pStyle w:val="P68B1DB1-Normal5"/>
                </w:pPr>
                <w:r>
                  <w:t xml:space="preserve">| ©2023由COMAP公司提供| </w:t>
                </w:r>
                <w:hyperlink r:id="rId1">
                  <w:r>
                    <w:t xml:space="preserve">www.comap.com </w:t>
                  </w:r>
                </w:hyperlink>
                <w:r>
                  <w:t xml:space="preserve">| </w:t>
                </w:r>
                <w:hyperlink r:id="rId2">
                  <w:r>
                    <w:t xml:space="preserve">www.mathmodels.org </w:t>
                  </w:r>
                </w:hyperlink>
                <w:r>
                  <w:t xml:space="preserve">| </w:t>
                </w:r>
                <w:hyperlink r:id="rId3">
                  <w:r>
                    <w:t>info@comap.com</w:t>
                  </w:r>
                  <w:r>
                    <w:rPr>
                      <w:spacing w:val="-31"/>
                    </w:rPr>
                    <w:t xml:space="preserve"> </w:t>
                  </w:r>
                </w:hyperlink>
                <w: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w w:val="99"/>
        <w:lang w:val="en-US" w:eastAsia="en-US" w:bidi="ar-SA"/>
      </w:rPr>
    </w:lvl>
    <w:lvl w:ilvl="1">
      <w:start w:val="0"/>
      <w:numFmt w:val="bullet"/>
      <w:lvlText w:val="o"/>
      <w:lvlJc w:val="left"/>
      <w:pPr>
        <w:ind w:left="1540" w:hanging="360"/>
      </w:pPr>
      <w:rPr>
        <w:rFonts w:hint="default" w:ascii="Courier New" w:hAnsi="Courier New" w:eastAsia="Courier New" w:cs="Courier New"/>
        <w:w w:val="99"/>
        <w:sz w:val="20"/>
        <w:szCs w:val="20"/>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Times New Roman" w:hAnsi="Times New Roman" w:cs="Times New Roman" w:eastAsia="Times New Roman"/>
    </w:rPr>
  </w:style>
  <w:style w:styleId="BodyText" w:type="paragraph">
    <w:name w:val="Body Text"/>
    <w:basedOn w:val="Normal"/>
    <w:uiPriority w:val="1"/>
    <w:qFormat/>
    <w:rPr>
      <w:rFonts w:ascii="Times New Roman" w:hAnsi="Times New Roman" w:cs="Times New Roman" w:eastAsia="Times New Roman"/>
      <w:sz w:val="24"/>
      <w:szCs w:val="24"/>
    </w:rPr>
  </w:style>
  <w:style w:styleId="Heading1" w:type="paragraph">
    <w:name w:val="Heading 1"/>
    <w:basedOn w:val="Normal"/>
    <w:uiPriority w:val="1"/>
    <w:qFormat/>
    <w:pPr>
      <w:ind w:left="100"/>
      <w:outlineLvl w:val="1"/>
    </w:pPr>
    <w:rPr>
      <w:rFonts w:ascii="Times New Roman" w:hAnsi="Times New Roman" w:cs="Times New Roman" w:eastAsia="Times New Roman"/>
      <w:b/>
      <w:bCs/>
      <w:sz w:val="24"/>
      <w:szCs w:val="24"/>
    </w:rPr>
  </w:style>
  <w:style w:styleId="ListParagraph" w:type="paragraph">
    <w:name w:val="List Paragraph"/>
    <w:basedOn w:val="Normal"/>
    <w:uiPriority w:val="1"/>
    <w:qFormat/>
    <w:pPr>
      <w:ind w:left="820" w:hanging="360"/>
    </w:pPr>
    <w:rPr>
      <w:rFonts w:ascii="Times New Roman" w:hAnsi="Times New Roman" w:cs="Times New Roman" w:eastAsia="Times New Roman"/>
    </w:rPr>
  </w:style>
  <w:style w:styleId="TableParagraph" w:type="paragraph">
    <w:name w:val="Table Paragraph"/>
    <w:basedOn w:val="Normal"/>
    <w:uiPriority w:val="1"/>
    <w:qFormat/>
  </w:style>
  <w:style w:type="paragraph" w:styleId="P68B1DB1-Normal1">
    <w:name w:val="P68B1DB1-Normal1"/>
    <w:basedOn w:val="Normal"/>
    <w:rPr>
      <w:b/>
      <w:sz w:val="24"/>
    </w:rPr>
  </w:style>
  <w:style w:type="paragraph" w:styleId="P68B1DB1-Normal2">
    <w:name w:val="P68B1DB1-Normal2"/>
    <w:basedOn w:val="Normal"/>
    <w:rPr>
      <w:b/>
      <w:sz w:val="10"/>
    </w:rPr>
  </w:style>
  <w:style w:type="paragraph" w:styleId="P68B1DB1-ListParagraph3">
    <w:name w:val="P68B1DB1-ListParagraph3"/>
    <w:basedOn w:val="ListParagraph"/>
    <w:rPr>
      <w:sz w:val="24"/>
    </w:rPr>
  </w:style>
  <w:style w:type="paragraph" w:styleId="P68B1DB1-Normal4">
    <w:name w:val="P68B1DB1-Normal4"/>
    <w:basedOn w:val="Normal"/>
    <w:rPr>
      <w:sz w:val="24"/>
    </w:rPr>
  </w:style>
  <w:style w:type="paragraph" w:styleId="P68B1DB1-Normal5">
    <w:name w:val="P68B1DB1-Normal5"/>
    <w:basedOn w:val="Normal"/>
    <w:rPr>
      <w:sz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comap.com/" TargetMode="External"/><Relationship Id="rId2" Type="http://schemas.openxmlformats.org/officeDocument/2006/relationships/hyperlink" Target="http://www.mathmodels.org/" TargetMode="External"/><Relationship Id="rId3" Type="http://schemas.openxmlformats.org/officeDocument/2006/relationships/hyperlink" Target="mailto:info@co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COMAP公司</dc:creator>
  <dc:title>2023 ICM问题E</dc:title>
  <dcterms:created xsi:type="dcterms:W3CDTF">2023-02-16T22:28:42Z</dcterms:created>
  <dcterms:modified xsi:type="dcterms:W3CDTF">2023-02-16T22:28:42Z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LastSaved">
    <vt:filetime>2023-02-16T00:00:00Z</vt:filetime>
  </property>
</Properties>
</file>