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AML Investigation Report</w:t>
      </w:r>
    </w:p>
    <w:p>
      <w:r>
        <w:t>Generated: 2026-05-18</w:t>
      </w:r>
    </w:p>
    <w:p>
      <w:pPr>
        <w:pStyle w:val="Heading1"/>
      </w:pPr>
      <w:r>
        <w:t>1. Executive Summary</w:t>
      </w:r>
    </w:p>
    <w:p>
      <w:r>
        <w:t xml:space="preserve">This report summarizes AML monitoring activities for the review period. A total of </w:t>
        <w:br/>
        <w:t xml:space="preserve">160 alerts were generated from 999 customers, with 37 cases requiring escalation. </w:t>
        <w:br/>
        <w:t>The monitoring system identified suspicious activity patterns requiring enhanced due diligence.</w:t>
      </w:r>
    </w:p>
    <w:p>
      <w:pPr>
        <w:pStyle w:val="Heading1"/>
      </w:pPr>
      <w:r>
        <w:t>2. AML Alert Overview</w:t>
      </w:r>
    </w:p>
    <w:p>
      <w:r>
        <w:t>Alert breakdown by type:</w:t>
      </w:r>
    </w:p>
    <w:p>
      <w:r>
        <w:t xml:space="preserve">  - Activity Spike: 30 alerts</w:t>
      </w:r>
    </w:p>
    <w:p>
      <w:r>
        <w:t xml:space="preserve">  - High Value Transaction: 100 alerts</w:t>
      </w:r>
    </w:p>
    <w:p>
      <w:r>
        <w:t xml:space="preserve">  - High-Risk Customer: 30 alerts</w:t>
      </w:r>
    </w:p>
    <w:p>
      <w:pPr>
        <w:pStyle w:val="Heading1"/>
      </w:pPr>
      <w:r>
        <w:t>3. Investigation Findings</w:t>
      </w:r>
    </w:p>
    <w:p>
      <w:r>
        <w:t xml:space="preserve">  - No historical precedent for transaction size: 37 cases</w:t>
      </w:r>
    </w:p>
    <w:p>
      <w:r>
        <w:t xml:space="preserve">  - Large transfer may require source of funds verification: 32 cases</w:t>
      </w:r>
    </w:p>
    <w:p>
      <w:r>
        <w:t xml:space="preserve">  - Transaction amount inconsistent with customer income profile: 31 cases</w:t>
      </w:r>
    </w:p>
    <w:p>
      <w:r>
        <w:t xml:space="preserve">  - PEP customer requires enhanced monitoring per FATF guidelines: 12 cases</w:t>
      </w:r>
    </w:p>
    <w:p>
      <w:r>
        <w:t xml:space="preserve">  - Rejected KYC customer conducting suspicious activity: 11 cases</w:t>
      </w:r>
    </w:p>
    <w:p>
      <w:pPr>
        <w:pStyle w:val="Heading1"/>
      </w:pPr>
      <w:r>
        <w:t>4. Escalation Analysis</w:t>
      </w:r>
    </w:p>
    <w:p>
      <w:r>
        <w:t xml:space="preserve">37 cases were escalated for senior review. These cases typically involved </w:t>
        <w:br/>
        <w:t>high-risk customers, large transaction amounts, or suspicious activity patterns requiring additional scrutiny.</w:t>
      </w:r>
    </w:p>
    <w:p>
      <w:pPr>
        <w:pStyle w:val="Heading1"/>
      </w:pPr>
      <w:r>
        <w:t>5. High-Risk Customer Review</w:t>
      </w:r>
    </w:p>
    <w:p>
      <w:r>
        <w:t xml:space="preserve">123 customers classified as high-risk require ongoing enhanced monitoring. </w:t>
        <w:br/>
        <w:t>These accounts are subject to additional transaction scrutiny and periodic compliance reviews.</w:t>
      </w:r>
    </w:p>
    <w:p>
      <w:pPr>
        <w:pStyle w:val="Heading1"/>
      </w:pPr>
      <w:r>
        <w:t>6. KYC Compliance Concerns</w:t>
      </w:r>
    </w:p>
    <w:p>
      <w:r>
        <w:t xml:space="preserve">KYC compliance gaps identified: 161 pending, 46 rejected. </w:t>
        <w:br/>
        <w:t>These customers require immediate KYC remediation to maintain compliance standards.</w:t>
      </w:r>
    </w:p>
    <w:p>
      <w:pPr>
        <w:pStyle w:val="Heading1"/>
      </w:pPr>
      <w:r>
        <w:t>7. Recommendations</w:t>
      </w:r>
    </w:p>
    <w:p>
      <w:r>
        <w:t>1. Enhanced Due Diligence for PEP customers and high-risk geography activity</w:t>
        <w:br/>
        <w:t>2. Ongoing monitoring of escalated alerts</w:t>
        <w:br/>
        <w:t>3. KYC remediation for pending/rejected accounts</w:t>
        <w:br/>
        <w:t>4. Regular review of suspicious transaction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