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Пользователь может с использованием дисплея: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Окно 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количество бросков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Установить бесконечное количество бросков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работу всей системы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Завершить работу всей системы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Посмотреть результаты последнего броска (открытие нового окна 2)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Посмотреть историю бросков (открытие нового окна 3)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меню запуска всех подсистем отдельно (открытие нового окна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Окно 2: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Увидеть результат последнего броска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Вернуться к окну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Окно 3: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Увидеть историю бросков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Вернуться к окну 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Окно 4: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отдельно подсистему перемешивания игральных костей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отдельно ПОРЧР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отдельно подсистему возврата игральных костей из области распознавания в подсистему перемешивания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Пользователь может через физическое взаимодействие: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Включение и выключение устройства с помощью аварийной кнопки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Добавка кубиков в барабан перемешивания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Выгрузка кубиков из барабана перемешивания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