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ІКНІ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ПЗ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1244600</wp:posOffset>
            </wp:positionV>
            <wp:extent cx="2651760" cy="2463800"/>
            <wp:effectExtent b="0" l="0" r="0" t="0"/>
            <wp:wrapSquare wrapText="bothSides" distB="0" distT="0" distL="114300" distR="114300"/>
            <wp:docPr descr="лого" id="13" name="image14.png"/>
            <a:graphic>
              <a:graphicData uri="http://schemas.openxmlformats.org/drawingml/2006/picture">
                <pic:pic>
                  <pic:nvPicPr>
                    <pic:cNvPr descr="лого"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left" w:leader="none" w:pos="790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233"/>
          <w:tab w:val="left" w:leader="none" w:pos="841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До лабораторної роботи №10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Чисельні методи інтегрування”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: “Чисельні методи”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Лектор:</w:t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доц. кафедри ПЗ</w:t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Мельник Н.Б.</w:t>
      </w:r>
    </w:p>
    <w:p w:rsidR="00000000" w:rsidDel="00000000" w:rsidP="00000000" w:rsidRDefault="00000000" w:rsidRPr="00000000" w14:paraId="0000001F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студ. групи ПЗ-18</w:t>
      </w:r>
    </w:p>
    <w:p w:rsidR="00000000" w:rsidDel="00000000" w:rsidP="00000000" w:rsidRDefault="00000000" w:rsidRPr="00000000" w14:paraId="00000022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Кириченко М.К.</w:t>
      </w:r>
    </w:p>
    <w:p w:rsidR="00000000" w:rsidDel="00000000" w:rsidP="00000000" w:rsidRDefault="00000000" w:rsidRPr="00000000" w14:paraId="00000023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проф. каф. 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Гавриш В.І.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 ______  2023 р.</w:t>
      </w:r>
    </w:p>
    <w:p w:rsidR="00000000" w:rsidDel="00000000" w:rsidP="00000000" w:rsidRDefault="00000000" w:rsidRPr="00000000" w14:paraId="00000029">
      <w:pPr>
        <w:spacing w:line="360" w:lineRule="auto"/>
        <w:jc w:val="right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∑ = ____  ___________</w:t>
          </w:r>
        </w:sdtContent>
      </w:sdt>
    </w:p>
    <w:p w:rsidR="00000000" w:rsidDel="00000000" w:rsidP="00000000" w:rsidRDefault="00000000" w:rsidRPr="00000000" w14:paraId="0000002A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 – 2023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Чисельні методи інтегрування.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Ознайомлення на практиці з чисельними методами інтегрування.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E">
      <w:pPr>
        <w:ind w:left="66" w:firstLine="64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багатьох наукових і технічних задачах інтегрування функцій є важливою складовою частиною математичного моделювання площ і об’ємів, значень роботи змінної сили та інших технічних завдань. Нагадаємо, що геометричний зміст найпростішого визначеного інтеграла</w:t>
      </w:r>
    </w:p>
    <w:p w:rsidR="00000000" w:rsidDel="00000000" w:rsidP="00000000" w:rsidRDefault="00000000" w:rsidRPr="00000000" w14:paraId="0000002F">
      <w:pPr>
        <w:ind w:firstLine="709"/>
        <w:jc w:val="right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1" style="width:75.15pt;height:42.55pt" o:ole="" type="#_x0000_t75">
            <v:imagedata r:id="rId1" o:title=""/>
          </v:shape>
          <o:OLEObject DrawAspect="Content" r:id="rId2" ObjectID="_1746944007" ProgID="Equation.3" ShapeID="_x0000_i1061" Type="Embed"/>
        </w:pict>
      </w:r>
      <w:r w:rsidDel="00000000" w:rsidR="00000000" w:rsidRPr="00000000">
        <w:rPr>
          <w:sz w:val="28"/>
          <w:szCs w:val="28"/>
          <w:rtl w:val="0"/>
        </w:rPr>
        <w:t xml:space="preserve">,</w:t>
        <w:tab/>
        <w:t xml:space="preserve"> </w:t>
        <w:tab/>
        <w:tab/>
        <w:tab/>
        <w:tab/>
        <w:t xml:space="preserve">(1.1)</w:t>
      </w:r>
    </w:p>
    <w:p w:rsidR="00000000" w:rsidDel="00000000" w:rsidP="00000000" w:rsidRDefault="00000000" w:rsidRPr="00000000" w14:paraId="00000030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≥ 0, як відомо, полягає у тому, що значення величини </w:t>
          </w:r>
        </w:sdtContent>
      </w:sdt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– це площа, обмежена кривою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), віссю абсцис та прямими </w:t>
      </w:r>
      <w:r w:rsidDel="00000000" w:rsidR="00000000" w:rsidRPr="00000000">
        <w:rPr>
          <w:i w:val="1"/>
          <w:sz w:val="28"/>
          <w:szCs w:val="28"/>
          <w:rtl w:val="0"/>
        </w:rPr>
        <w:t xml:space="preserve">x </w:t>
      </w:r>
      <w:r w:rsidDel="00000000" w:rsidR="00000000" w:rsidRPr="00000000">
        <w:rPr>
          <w:sz w:val="28"/>
          <w:szCs w:val="28"/>
          <w:rtl w:val="0"/>
        </w:rPr>
        <w:t xml:space="preserve">= </w:t>
      </w:r>
      <w:r w:rsidDel="00000000" w:rsidR="00000000" w:rsidRPr="00000000">
        <w:rPr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x </w:t>
      </w:r>
      <w:r w:rsidDel="00000000" w:rsidR="00000000" w:rsidRPr="00000000">
        <w:rPr>
          <w:sz w:val="28"/>
          <w:szCs w:val="28"/>
          <w:rtl w:val="0"/>
        </w:rPr>
        <w:t xml:space="preserve">= </w:t>
      </w:r>
      <w:r w:rsidDel="00000000" w:rsidR="00000000" w:rsidRPr="00000000">
        <w:rPr>
          <w:i w:val="1"/>
          <w:sz w:val="28"/>
          <w:szCs w:val="28"/>
          <w:rtl w:val="0"/>
        </w:rPr>
        <w:t xml:space="preserve">b.</w:t>
      </w:r>
    </w:p>
    <w:p w:rsidR="00000000" w:rsidDel="00000000" w:rsidP="00000000" w:rsidRDefault="00000000" w:rsidRPr="00000000" w14:paraId="00000031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випадках, коли підінтегральна функція задана в аналітичному вигляді, визначений інтеграл можна обчислити безпосередньо за допомогою невизначеного інтеграла за формулою Ньютона-Лейбніца.</w:t>
      </w:r>
    </w:p>
    <w:p w:rsidR="00000000" w:rsidDel="00000000" w:rsidP="00000000" w:rsidRDefault="00000000" w:rsidRPr="00000000" w14:paraId="00000032">
      <w:pPr>
        <w:spacing w:line="360" w:lineRule="auto"/>
        <w:ind w:firstLine="567"/>
        <w:jc w:val="center"/>
        <w:rPr>
          <w:color w:val="000000"/>
          <w:sz w:val="28"/>
          <w:szCs w:val="28"/>
          <w:vertAlign w:val="subscript"/>
        </w:rPr>
      </w:pPr>
      <w:r w:rsidDel="00000000" w:rsidR="00000000" w:rsidRPr="00000000">
        <w:rPr>
          <w:color w:val="000000"/>
          <w:sz w:val="28"/>
          <w:szCs w:val="28"/>
          <w:vertAlign w:val="subscript"/>
        </w:rPr>
        <w:pict>
          <v:shape id="_x0000_i1062" style="width:176.55pt;height:39.45pt" o:ole="" type="#_x0000_t75">
            <v:imagedata r:id="rId3" o:title=""/>
          </v:shape>
          <o:OLEObject DrawAspect="Content" r:id="rId4" ObjectID="_1746944008" ProgID="Equation.3" ShapeID="_x0000_i106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 на практиці цією формулою часто не можна скористатися через дві основні причини: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ind w:left="709" w:hanging="34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вигляд функції </w:t>
      </w:r>
      <w:r w:rsidDel="00000000" w:rsidR="00000000" w:rsidRPr="00000000">
        <w:rPr>
          <w:i w:val="1"/>
          <w:sz w:val="28"/>
          <w:szCs w:val="28"/>
          <w:rtl w:val="0"/>
        </w:rPr>
        <w:t xml:space="preserve">f(х)</w:t>
      </w:r>
      <w:r w:rsidDel="00000000" w:rsidR="00000000" w:rsidRPr="00000000">
        <w:rPr>
          <w:sz w:val="28"/>
          <w:szCs w:val="28"/>
          <w:rtl w:val="0"/>
        </w:rPr>
        <w:t xml:space="preserve"> не допускає безпосереднього інтегрування, тобто первісну не можна зобразити елементарними функціями;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09" w:hanging="34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значення функції </w:t>
      </w:r>
      <w:r w:rsidDel="00000000" w:rsidR="00000000" w:rsidRPr="00000000">
        <w:rPr>
          <w:i w:val="1"/>
          <w:sz w:val="28"/>
          <w:szCs w:val="28"/>
          <w:rtl w:val="0"/>
        </w:rPr>
        <w:t xml:space="preserve">f(х)</w:t>
      </w:r>
      <w:r w:rsidDel="00000000" w:rsidR="00000000" w:rsidRPr="00000000">
        <w:rPr>
          <w:sz w:val="28"/>
          <w:szCs w:val="28"/>
          <w:rtl w:val="0"/>
        </w:rPr>
        <w:t xml:space="preserve"> задане тільки на фіксованій скінченній кількості точок </w:t>
      </w:r>
      <w:r w:rsidDel="00000000" w:rsidR="00000000" w:rsidRPr="00000000">
        <w:rPr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, тобто функція задана у вигляді таблиці.</w:t>
      </w:r>
    </w:p>
    <w:p w:rsidR="00000000" w:rsidDel="00000000" w:rsidP="00000000" w:rsidRDefault="00000000" w:rsidRPr="00000000" w14:paraId="00000036">
      <w:pPr>
        <w:spacing w:line="36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прямокутників</w:t>
      </w:r>
    </w:p>
    <w:p w:rsidR="00000000" w:rsidDel="00000000" w:rsidP="00000000" w:rsidRDefault="00000000" w:rsidRPr="00000000" w14:paraId="00000037">
      <w:pPr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Правих: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8789"/>
        </w:tabs>
        <w:spacing w:after="0" w:before="0" w:line="240" w:lineRule="auto"/>
        <w:ind w:left="0" w:right="0" w:firstLine="5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63" style="width:293.65pt;height:44.45pt" o:ole="" type="#_x0000_t75">
            <v:imagedata r:id="rId5" o:title=""/>
          </v:shape>
          <o:OLEObject DrawAspect="Content" r:id="rId6" ObjectID="_1746944009" ProgID="Equation.3" ShapeID="_x0000_i106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(2.1)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Лівих: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8789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64" style="width:304.3pt;height:45.7pt" o:ole="" type="#_x0000_t75">
            <v:imagedata r:id="rId7" o:title=""/>
          </v:shape>
          <o:OLEObject DrawAspect="Content" r:id="rId8" ObjectID="_1746944010" ProgID="Equation.3" ShapeID="_x0000_i106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(2.2)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86350" cy="20066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246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                                                               б)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2.1 Геометрична інтерпретація методу прямокутників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Середніх:</w:t>
      </w:r>
    </w:p>
    <w:p w:rsidR="00000000" w:rsidDel="00000000" w:rsidP="00000000" w:rsidRDefault="00000000" w:rsidRPr="00000000" w14:paraId="00000040">
      <w:pPr>
        <w:ind w:firstLine="709"/>
        <w:jc w:val="right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5" style="width:169.65pt;height:41.3pt" o:ole="" type="#_x0000_t75">
            <v:imagedata r:id="rId9" o:title=""/>
          </v:shape>
          <o:OLEObject DrawAspect="Content" r:id="rId10" ObjectID="_1746944011" ProgID="Equation.3" ShapeID="_x0000_i1065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  <w:tab/>
        <w:tab/>
        <w:tab/>
        <w:t xml:space="preserve">(2.3)</w:t>
      </w:r>
    </w:p>
    <w:p w:rsidR="00000000" w:rsidDel="00000000" w:rsidP="00000000" w:rsidRDefault="00000000" w:rsidRPr="00000000" w14:paraId="0000004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Похибка обчислень інтегралу методом прямокутників обчислюється за формулою:</w:t>
      </w:r>
    </w:p>
    <w:p w:rsidR="00000000" w:rsidDel="00000000" w:rsidP="00000000" w:rsidRDefault="00000000" w:rsidRPr="00000000" w14:paraId="00000042">
      <w:pPr>
        <w:ind w:firstLine="709"/>
        <w:jc w:val="right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6" style="width:98.9pt;height:31.95pt" o:ole="" type="#_x0000_t75">
            <v:imagedata r:id="rId11" o:title=""/>
          </v:shape>
          <o:OLEObject DrawAspect="Content" r:id="rId12" ObjectID="_1746944012" ProgID="Equation.3" ShapeID="_x0000_i1066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  <w:tab/>
        <w:tab/>
        <w:tab/>
        <w:tab/>
        <w:tab/>
        <w:t xml:space="preserve">(2.4)</w:t>
      </w:r>
    </w:p>
    <w:p w:rsidR="00000000" w:rsidDel="00000000" w:rsidP="00000000" w:rsidRDefault="00000000" w:rsidRPr="00000000" w14:paraId="00000043">
      <w:pPr>
        <w:ind w:firstLine="709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трапецій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трапецій полягає в тому, що відрізок інтегрування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а,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розбивається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рівних відрізків, всередині яких підінтегральна крива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f(x)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замінюється кусково-лінійною функцією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(х),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отриманою стягуванням ординат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відрізків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хордами.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Інтеграл знаходиться як сума площ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прямокутних трапецій (pис.3.1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а,б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61050" cy="20955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114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                                                               б)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3.1 Геометрична інтерпретація методу трапецій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Площа кожної такої трапеції визначається як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8789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67" style="width:112.05pt;height:35.7pt" o:ole="" type="#_x0000_t75">
            <v:imagedata r:id="rId13" o:title=""/>
          </v:shape>
          <o:OLEObject DrawAspect="Content" r:id="rId14" ObjectID="_1746944013" ProgID="Equation.3" ShapeID="_x0000_i106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                                (3.1)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68" style="width:384.4pt;height:41.3pt" o:ole="" type="#_x0000_t75">
            <v:imagedata r:id="rId15" o:title=""/>
          </v:shape>
          <o:OLEObject DrawAspect="Content" r:id="rId16" ObjectID="_1746944014" ProgID="Equation.3" ShapeID="_x0000_i106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Сімпсона</w:t>
      </w:r>
    </w:p>
    <w:p w:rsidR="00000000" w:rsidDel="00000000" w:rsidP="00000000" w:rsidRDefault="00000000" w:rsidRPr="00000000" w14:paraId="0000004E">
      <w:pPr>
        <w:shd w:fill="ffffff" w:val="clear"/>
        <w:ind w:firstLine="720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Поділимо відрізок інтегрування [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] на парне число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рівних частин з кроком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9" style="width:45.7pt;height:33.2pt" o:ole="" type="#_x0000_t75">
            <v:imagedata r:id="rId17" o:title=""/>
          </v:shape>
          <o:OLEObject DrawAspect="Content" r:id="rId18" ObjectID="_1746944015" ProgID="Equation.3" ShapeID="_x0000_i1069" Type="Embed"/>
        </w:pic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На кожному відрізку [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color w:val="000000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], [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color w:val="000000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color w:val="000000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], …, [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i w:val="1"/>
          <w:color w:val="000000"/>
          <w:sz w:val="28"/>
          <w:szCs w:val="28"/>
          <w:vertAlign w:val="subscript"/>
          <w:rtl w:val="0"/>
        </w:rPr>
        <w:t xml:space="preserve">i-</w:t>
      </w:r>
      <w:r w:rsidDel="00000000" w:rsidR="00000000" w:rsidRPr="00000000">
        <w:rPr>
          <w:color w:val="000000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i w:val="1"/>
          <w:color w:val="000000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color w:val="000000"/>
          <w:sz w:val="28"/>
          <w:szCs w:val="28"/>
          <w:vertAlign w:val="subscript"/>
          <w:rtl w:val="0"/>
        </w:rPr>
        <w:t xml:space="preserve">+1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], …, [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i w:val="1"/>
          <w:color w:val="000000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sz w:val="28"/>
          <w:szCs w:val="28"/>
          <w:vertAlign w:val="subscript"/>
          <w:rtl w:val="0"/>
        </w:rPr>
        <w:t xml:space="preserve">-2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i w:val="1"/>
          <w:color w:val="000000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] підінтегральну функцію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 замінимо інтерполяційним многочленом другого степеня (квадратичною параболою, рис. 4.1,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а,б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 та обчислення визначеного інтеграла зводиться до обчислення суми площ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криволінійних трапецій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S</w:t>
      </w:r>
      <w:r w:rsidDel="00000000" w:rsidR="00000000" w:rsidRPr="00000000">
        <w:rPr>
          <w:i w:val="1"/>
          <w:color w:val="000000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57850" cy="23050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                                                               б)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Рисунки 4.1 Геометрична інтерпретація методу Сімпсона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Площа кожної такої криволінійної трапеції визначається за формулою Сімпсона: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70" style="width:178.45pt;height:39.45pt" o:ole="" type="#_x0000_t75">
            <v:imagedata r:id="rId19" o:title=""/>
          </v:shape>
          <o:OLEObject DrawAspect="Content" r:id="rId20" ObjectID="_1746944016" ProgID="Equation.3" ShapeID="_x0000_i107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                             (4.1)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 сума всіх криволінійних трапецій обчислюється за формулою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8789"/>
        </w:tabs>
        <w:spacing w:after="0" w:before="0" w:line="240" w:lineRule="auto"/>
        <w:ind w:left="0" w:right="0" w:firstLine="18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71" style="width:294.25pt;height:44.45pt" o:ole="" type="#_x0000_t75">
            <v:imagedata r:id="rId21" o:title=""/>
          </v:shape>
          <o:OLEObject DrawAspect="Content" r:id="rId22" ObjectID="_1746944017" ProgID="Equation.3" ShapeID="_x0000_i107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або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72" style="width:269.2pt;height:53.85pt" o:ole="" type="#_x0000_t75">
            <v:imagedata r:id="rId23" o:title=""/>
          </v:shape>
          <o:OLEObject DrawAspect="Content" r:id="rId24" ObjectID="_1746944018" ProgID="Equation.3" ShapeID="_x0000_i107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(4.3)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Методом найменших квадратів побудувати лінійний, квадратичний і кубічний апроксимаційні поліноми для таблично заданої функції.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Задана функція: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24078" cy="406421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406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Геометричне зображення заданої функції: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19363" cy="2501303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0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виконання програми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21362" cy="2705239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705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Аналітичний розв’язок визначеного інтегралу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24300" cy="233362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066">
      <w:pPr>
        <w:spacing w:after="20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результаті виконання лабораторної роботи використано </w:t>
      </w:r>
      <w:r w:rsidDel="00000000" w:rsidR="00000000" w:rsidRPr="00000000">
        <w:rPr>
          <w:sz w:val="28"/>
          <w:szCs w:val="28"/>
          <w:rtl w:val="0"/>
        </w:rPr>
        <w:t xml:space="preserve">на практиці чисельні методи інтегрування, а саме: метод прямокутників (лівих, середніх та правих), метод трапецій та метод парабол (Сімпсона). Результат отриманий з використанням методу Сімпсона є найбільш точним, оскільки похибка обчислення є найменшою (похибка обчислення =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 2.66923e</m:t>
            </m:r>
          </m:e>
          <m:sup>
            <m:r>
              <w:rPr>
                <w:sz w:val="28"/>
                <w:szCs w:val="28"/>
              </w:rPr>
              <m:t xml:space="preserve">-21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), а метод прямокутників (лівих та правих) - найменш точним (похибка обчислення = </w:t>
      </w:r>
      <m:oMath>
        <m:r>
          <w:rPr>
            <w:sz w:val="28"/>
            <w:szCs w:val="28"/>
          </w:rPr>
          <m:t xml:space="preserve">9.79023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-3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). Методом трапеції отримана похибка </w:t>
      </w:r>
      <m:oMath>
        <m:r>
          <w:rPr>
            <w:sz w:val="28"/>
            <w:szCs w:val="28"/>
          </w:rPr>
          <m:t xml:space="preserve">2.45858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-7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, а методом прямокутників (середніх) </w:t>
      </w:r>
      <m:oMath>
        <m:r>
          <w:rPr>
            <w:sz w:val="28"/>
            <w:szCs w:val="28"/>
          </w:rPr>
          <m:t xml:space="preserve">1.22929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-7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 Найчастіше на практиці використовують метод середніх прямокутників, але якщо це можливо, то стараються використати методи Сімпсона та трапецій.</w:t>
      </w:r>
    </w:p>
    <w:p w:rsidR="00000000" w:rsidDel="00000000" w:rsidP="00000000" w:rsidRDefault="00000000" w:rsidRPr="00000000" w14:paraId="00000067">
      <w:pPr>
        <w:spacing w:after="200" w:lineRule="auto"/>
        <w:ind w:firstLine="708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</w:t>
      </w:r>
    </w:p>
    <w:p w:rsidR="00000000" w:rsidDel="00000000" w:rsidP="00000000" w:rsidRDefault="00000000" w:rsidRPr="00000000" w14:paraId="0000006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NumericalIntegration.h</w:t>
      </w:r>
    </w:p>
    <w:p w:rsidR="00000000" w:rsidDel="00000000" w:rsidP="00000000" w:rsidRDefault="00000000" w:rsidRPr="00000000" w14:paraId="0000006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dfdx(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df2dx(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df4dx(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left_rectangle_method(std::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center_rectangle_method(std::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right_rectangle_method(std::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trapezium_method(std::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simpsons_method(std::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get_max_y(std::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func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x));</w:t>
      </w:r>
    </w:p>
    <w:p w:rsidR="00000000" w:rsidDel="00000000" w:rsidP="00000000" w:rsidRDefault="00000000" w:rsidRPr="00000000" w14:paraId="0000007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get_rl_rectangle_fluff(std::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get_c_rectangle_fluff(std::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get_trapezium_fluff(std::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get_simpsons_fluff(std::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::f(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1/((1+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)*sqrt(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::dfdx(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-1/(2*sqrt(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+1)) - 1/(sqrt(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+1)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+1));</w:t>
      </w:r>
    </w:p>
    <w:p w:rsidR="00000000" w:rsidDel="00000000" w:rsidP="00000000" w:rsidRDefault="00000000" w:rsidRPr="00000000" w14:paraId="0000008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::df2dx(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3 / (4 * sqrt(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+ 1))</w:t>
      </w:r>
    </w:p>
    <w:p w:rsidR="00000000" w:rsidDel="00000000" w:rsidP="00000000" w:rsidRDefault="00000000" w:rsidRPr="00000000" w14:paraId="0000008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+ 1 / (sqrt(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+ 1))</w:t>
      </w:r>
    </w:p>
    <w:p w:rsidR="00000000" w:rsidDel="00000000" w:rsidP="00000000" w:rsidRDefault="00000000" w:rsidRPr="00000000" w14:paraId="0000008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+ 1 / (sqrt(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+ 1));</w:t>
      </w:r>
    </w:p>
    <w:p w:rsidR="00000000" w:rsidDel="00000000" w:rsidP="00000000" w:rsidRDefault="00000000" w:rsidRPr="00000000" w14:paraId="0000009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::df4dx(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105 / (16 * sqrt(pow(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9))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+ 1))</w:t>
      </w:r>
    </w:p>
    <w:p w:rsidR="00000000" w:rsidDel="00000000" w:rsidP="00000000" w:rsidRDefault="00000000" w:rsidRPr="00000000" w14:paraId="0000009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+ 15 / (2 * sqrt(pow(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7))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+ 1))</w:t>
      </w:r>
    </w:p>
    <w:p w:rsidR="00000000" w:rsidDel="00000000" w:rsidP="00000000" w:rsidRDefault="00000000" w:rsidRPr="00000000" w14:paraId="0000009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+ 9 / (sqrt(pow(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5))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+ 1))</w:t>
      </w:r>
    </w:p>
    <w:p w:rsidR="00000000" w:rsidDel="00000000" w:rsidP="00000000" w:rsidRDefault="00000000" w:rsidRPr="00000000" w14:paraId="0000009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+ 12 / (sqrt(pow(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3)) * pow((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+ 1), 4))</w:t>
      </w:r>
    </w:p>
    <w:p w:rsidR="00000000" w:rsidDel="00000000" w:rsidP="00000000" w:rsidRDefault="00000000" w:rsidRPr="00000000" w14:paraId="0000009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+ 24 / (sqrt(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pow((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+ 1), 5));</w:t>
      </w:r>
    </w:p>
    <w:p w:rsidR="00000000" w:rsidDel="00000000" w:rsidP="00000000" w:rsidRDefault="00000000" w:rsidRPr="00000000" w14:paraId="0000009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::left_rectangle_method(std::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dx =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A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-1; i++)</w:t>
      </w:r>
    </w:p>
    <w:p w:rsidR="00000000" w:rsidDel="00000000" w:rsidP="00000000" w:rsidRDefault="00000000" w:rsidRPr="00000000" w14:paraId="000000A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sum += f(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+ i * dx) * dx;</w:t>
      </w:r>
    </w:p>
    <w:p w:rsidR="00000000" w:rsidDel="00000000" w:rsidP="00000000" w:rsidRDefault="00000000" w:rsidRPr="00000000" w14:paraId="000000A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sum;</w:t>
      </w:r>
    </w:p>
    <w:p w:rsidR="00000000" w:rsidDel="00000000" w:rsidP="00000000" w:rsidRDefault="00000000" w:rsidRPr="00000000" w14:paraId="000000A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::center_rectangle_method(std::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dx =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A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- 1; i++)</w:t>
      </w:r>
    </w:p>
    <w:p w:rsidR="00000000" w:rsidDel="00000000" w:rsidP="00000000" w:rsidRDefault="00000000" w:rsidRPr="00000000" w14:paraId="000000A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sum += f(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+ (i + 0.5) * dx) * dx;</w:t>
      </w:r>
    </w:p>
    <w:p w:rsidR="00000000" w:rsidDel="00000000" w:rsidP="00000000" w:rsidRDefault="00000000" w:rsidRPr="00000000" w14:paraId="000000A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sum;</w:t>
      </w:r>
    </w:p>
    <w:p w:rsidR="00000000" w:rsidDel="00000000" w:rsidP="00000000" w:rsidRDefault="00000000" w:rsidRPr="00000000" w14:paraId="000000B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::right_rectangle_method(std::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dx =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B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1;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B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sum += f(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+ i * dx) * dx;</w:t>
      </w:r>
    </w:p>
    <w:p w:rsidR="00000000" w:rsidDel="00000000" w:rsidP="00000000" w:rsidRDefault="00000000" w:rsidRPr="00000000" w14:paraId="000000B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sum;</w:t>
      </w:r>
    </w:p>
    <w:p w:rsidR="00000000" w:rsidDel="00000000" w:rsidP="00000000" w:rsidRDefault="00000000" w:rsidRPr="00000000" w14:paraId="000000B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::get_max_y(std::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func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x))</w:t>
      </w:r>
    </w:p>
    <w:p w:rsidR="00000000" w:rsidDel="00000000" w:rsidP="00000000" w:rsidRDefault="00000000" w:rsidRPr="00000000" w14:paraId="000000B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func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.first);</w:t>
      </w:r>
    </w:p>
    <w:p w:rsidR="00000000" w:rsidDel="00000000" w:rsidP="00000000" w:rsidRDefault="00000000" w:rsidRPr="00000000" w14:paraId="000000C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.first; i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.second; i = i + 0.001)</w:t>
      </w:r>
    </w:p>
    <w:p w:rsidR="00000000" w:rsidDel="00000000" w:rsidP="00000000" w:rsidRDefault="00000000" w:rsidRPr="00000000" w14:paraId="000000C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(max &lt;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func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)(i))</w:t>
      </w:r>
    </w:p>
    <w:p w:rsidR="00000000" w:rsidDel="00000000" w:rsidP="00000000" w:rsidRDefault="00000000" w:rsidRPr="00000000" w14:paraId="000000C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max = i;</w:t>
      </w:r>
    </w:p>
    <w:p w:rsidR="00000000" w:rsidDel="00000000" w:rsidP="00000000" w:rsidRDefault="00000000" w:rsidRPr="00000000" w14:paraId="000000C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func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)(max);</w:t>
      </w:r>
    </w:p>
    <w:p w:rsidR="00000000" w:rsidDel="00000000" w:rsidP="00000000" w:rsidRDefault="00000000" w:rsidRPr="00000000" w14:paraId="000000C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::get_rl_rectangle_fluff(std::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abs(get_max_y(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::dfdx)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</w:t>
      </w:r>
    </w:p>
    <w:p w:rsidR="00000000" w:rsidDel="00000000" w:rsidP="00000000" w:rsidRDefault="00000000" w:rsidRPr="00000000" w14:paraId="000000C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/ (2.0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C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::get_c_rectangle_fluff(std::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abs(get_max_y(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::df2dx)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</w:t>
      </w:r>
    </w:p>
    <w:p w:rsidR="00000000" w:rsidDel="00000000" w:rsidP="00000000" w:rsidRDefault="00000000" w:rsidRPr="00000000" w14:paraId="000000D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</w:t>
      </w:r>
    </w:p>
    <w:p w:rsidR="00000000" w:rsidDel="00000000" w:rsidP="00000000" w:rsidRDefault="00000000" w:rsidRPr="00000000" w14:paraId="000000D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/ (24.0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D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::get_trapezium_fluff(std::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abs(get_max_y(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::df2dx)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</w:t>
      </w:r>
    </w:p>
    <w:p w:rsidR="00000000" w:rsidDel="00000000" w:rsidP="00000000" w:rsidRDefault="00000000" w:rsidRPr="00000000" w14:paraId="000000D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/ (12.0 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D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::get_simpsons_fluff(std::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abs(get_max_y(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::df4dx)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</w:t>
      </w:r>
    </w:p>
    <w:p w:rsidR="00000000" w:rsidDel="00000000" w:rsidP="00000000" w:rsidRDefault="00000000" w:rsidRPr="00000000" w14:paraId="000000D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</w:t>
      </w:r>
    </w:p>
    <w:p w:rsidR="00000000" w:rsidDel="00000000" w:rsidP="00000000" w:rsidRDefault="00000000" w:rsidRPr="00000000" w14:paraId="000000E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</w:t>
      </w:r>
    </w:p>
    <w:p w:rsidR="00000000" w:rsidDel="00000000" w:rsidP="00000000" w:rsidRDefault="00000000" w:rsidRPr="00000000" w14:paraId="000000E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/ (2880.0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::trapezium_method(std::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dx =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E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-1; i++)</w:t>
      </w:r>
    </w:p>
    <w:p w:rsidR="00000000" w:rsidDel="00000000" w:rsidP="00000000" w:rsidRDefault="00000000" w:rsidRPr="00000000" w14:paraId="000000E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medianLine = (f(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+ i * dx) + f(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+ (i + 1) * dx)) / 2;</w:t>
      </w:r>
    </w:p>
    <w:p w:rsidR="00000000" w:rsidDel="00000000" w:rsidP="00000000" w:rsidRDefault="00000000" w:rsidRPr="00000000" w14:paraId="000000E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sum += medianLine * dx;</w:t>
      </w:r>
    </w:p>
    <w:p w:rsidR="00000000" w:rsidDel="00000000" w:rsidP="00000000" w:rsidRDefault="00000000" w:rsidRPr="00000000" w14:paraId="000000E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sum;</w:t>
      </w:r>
    </w:p>
    <w:p w:rsidR="00000000" w:rsidDel="00000000" w:rsidP="00000000" w:rsidRDefault="00000000" w:rsidRPr="00000000" w14:paraId="000000E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::simpsons_method(std::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dx =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.first)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F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-1; i++)</w:t>
      </w:r>
    </w:p>
    <w:p w:rsidR="00000000" w:rsidDel="00000000" w:rsidP="00000000" w:rsidRDefault="00000000" w:rsidRPr="00000000" w14:paraId="000000F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sum += (f(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+ i * dx) + 4 * f(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+ (i + 0.5) * dx)</w:t>
      </w:r>
    </w:p>
    <w:p w:rsidR="00000000" w:rsidDel="00000000" w:rsidP="00000000" w:rsidRDefault="00000000" w:rsidRPr="00000000" w14:paraId="000000F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+ f(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interval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+ (i + 1) * dx)) * (dx / 6.0);</w:t>
      </w:r>
    </w:p>
    <w:p w:rsidR="00000000" w:rsidDel="00000000" w:rsidP="00000000" w:rsidRDefault="00000000" w:rsidRPr="00000000" w14:paraId="000000F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sum;</w:t>
      </w:r>
    </w:p>
    <w:p w:rsidR="00000000" w:rsidDel="00000000" w:rsidP="00000000" w:rsidRDefault="00000000" w:rsidRPr="00000000" w14:paraId="000000F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F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"NumericalIntegration.h"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interval(0.5, 1.0);</w:t>
      </w:r>
    </w:p>
    <w:p w:rsidR="00000000" w:rsidDel="00000000" w:rsidP="00000000" w:rsidRDefault="00000000" w:rsidRPr="00000000" w14:paraId="0000010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20;</w:t>
      </w:r>
    </w:p>
    <w:p w:rsidR="00000000" w:rsidDel="00000000" w:rsidP="00000000" w:rsidRDefault="00000000" w:rsidRPr="00000000" w14:paraId="0000010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NumericalIntegration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obj;</w:t>
      </w:r>
    </w:p>
    <w:p w:rsidR="00000000" w:rsidDel="00000000" w:rsidP="00000000" w:rsidRDefault="00000000" w:rsidRPr="00000000" w14:paraId="0000010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"Integral (left rectangle method)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obj.left_rectangle_method(interval,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0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"The fluff of calculation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obj.get_rl_rectangle_fluff(interval,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"Integral (center rectangle method)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obj.center_rectangle_method(interval,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0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"The fluff of calculation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obj.get_c_rectangle_fluff(interval,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"Integral (right rectangle method)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obj.right_rectangle_method(interval,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0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"The fluff of calculation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obj.get_rl_rectangle_fluff(interval,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"Integral (trapezium method)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obj.trapezium_method(interval,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1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"The fluff of calculation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obj.get_trapezium_fluff(interval,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"Integral (simpsons method)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obj.simpsons_method(interval,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1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"The fluff of calculation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obj.get_simpsons_fluff(interval, n)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ungsuh"/>
  <w:font w:name="Symbol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140" w:hanging="78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718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 w:val="1"/>
    <w:rsid w:val="003C7186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3C7186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uk-UA"/>
    </w:rPr>
  </w:style>
  <w:style w:type="paragraph" w:styleId="a3">
    <w:name w:val="List Paragraph"/>
    <w:basedOn w:val="a"/>
    <w:uiPriority w:val="34"/>
    <w:qFormat w:val="1"/>
    <w:rsid w:val="003C7186"/>
    <w:pPr>
      <w:ind w:left="720"/>
      <w:contextualSpacing w:val="1"/>
    </w:pPr>
  </w:style>
  <w:style w:type="paragraph" w:styleId="a4">
    <w:name w:val="Normal (Web)"/>
    <w:basedOn w:val="a"/>
    <w:rsid w:val="003C7186"/>
    <w:pPr>
      <w:spacing w:after="100" w:afterAutospacing="1" w:before="100" w:beforeAutospacing="1"/>
    </w:pPr>
    <w:rPr>
      <w:lang w:val="en-US"/>
    </w:rPr>
  </w:style>
  <w:style w:type="paragraph" w:styleId="a5" w:customStyle="1">
    <w:name w:val="Заголовок підрозділу"/>
    <w:basedOn w:val="1"/>
    <w:next w:val="a"/>
    <w:autoRedefine w:val="1"/>
    <w:rsid w:val="00C2641E"/>
    <w:pPr>
      <w:keepLines w:val="0"/>
      <w:spacing w:before="0" w:line="264" w:lineRule="auto"/>
      <w:jc w:val="center"/>
      <w:outlineLvl w:val="9"/>
    </w:pPr>
    <w:rPr>
      <w:rFonts w:ascii="Times New Roman" w:cs="Times New Roman" w:eastAsia="Times New Roman" w:hAnsi="Times New Roman"/>
      <w:b w:val="1"/>
      <w:color w:val="auto"/>
      <w:sz w:val="28"/>
      <w:szCs w:val="24"/>
      <w:lang w:val="uk-UA"/>
    </w:rPr>
  </w:style>
  <w:style w:type="paragraph" w:styleId="11" w:customStyle="1">
    <w:name w:val="Текст1"/>
    <w:basedOn w:val="a"/>
    <w:autoRedefine w:val="1"/>
    <w:rsid w:val="003C7186"/>
    <w:pPr>
      <w:spacing w:line="360" w:lineRule="auto"/>
      <w:ind w:firstLine="601"/>
      <w:jc w:val="both"/>
    </w:pPr>
    <w:rPr>
      <w:sz w:val="20"/>
      <w:szCs w:val="20"/>
      <w:lang w:val="uk-UA"/>
    </w:rPr>
  </w:style>
  <w:style w:type="paragraph" w:styleId="a6" w:customStyle="1">
    <w:name w:val="Малюнок"/>
    <w:basedOn w:val="11"/>
    <w:next w:val="11"/>
    <w:autoRedefine w:val="1"/>
    <w:rsid w:val="003C7186"/>
    <w:pPr>
      <w:tabs>
        <w:tab w:val="left" w:pos="900"/>
      </w:tabs>
      <w:spacing w:after="120" w:before="120"/>
      <w:jc w:val="center"/>
    </w:pPr>
  </w:style>
  <w:style w:type="character" w:styleId="10" w:customStyle="1">
    <w:name w:val="Заголовок 1 Знак"/>
    <w:basedOn w:val="a0"/>
    <w:link w:val="1"/>
    <w:uiPriority w:val="9"/>
    <w:rsid w:val="003C7186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GB"/>
    </w:rPr>
  </w:style>
  <w:style w:type="paragraph" w:styleId="a7">
    <w:name w:val="Body Text"/>
    <w:basedOn w:val="a"/>
    <w:link w:val="a8"/>
    <w:uiPriority w:val="99"/>
    <w:unhideWhenUsed w:val="1"/>
    <w:rsid w:val="002C0210"/>
    <w:pPr>
      <w:spacing w:after="120"/>
    </w:pPr>
  </w:style>
  <w:style w:type="character" w:styleId="a8" w:customStyle="1">
    <w:name w:val="Основний текст Знак"/>
    <w:basedOn w:val="a0"/>
    <w:link w:val="a7"/>
    <w:uiPriority w:val="99"/>
    <w:rsid w:val="002C0210"/>
    <w:rPr>
      <w:rFonts w:ascii="Times New Roman" w:cs="Times New Roman" w:eastAsia="Times New Roman" w:hAnsi="Times New Roman"/>
      <w:sz w:val="24"/>
      <w:szCs w:val="24"/>
      <w:lang w:val="en-GB"/>
    </w:rPr>
  </w:style>
  <w:style w:type="character" w:styleId="a9" w:customStyle="1">
    <w:name w:val="Формула Знак"/>
    <w:basedOn w:val="a0"/>
    <w:link w:val="aa"/>
    <w:locked w:val="1"/>
    <w:rsid w:val="002C0210"/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paragraph" w:styleId="aa" w:customStyle="1">
    <w:name w:val="Формула"/>
    <w:basedOn w:val="a"/>
    <w:next w:val="a7"/>
    <w:link w:val="a9"/>
    <w:rsid w:val="002C0210"/>
    <w:pPr>
      <w:tabs>
        <w:tab w:val="center" w:pos="4536"/>
        <w:tab w:val="right" w:pos="8789"/>
      </w:tabs>
    </w:pPr>
    <w:rPr>
      <w:lang w:eastAsia="uk-UA" w:val="uk-UA"/>
    </w:rPr>
  </w:style>
  <w:style w:type="paragraph" w:styleId="ab" w:customStyle="1">
    <w:name w:val="Рисунок"/>
    <w:basedOn w:val="a"/>
    <w:rsid w:val="002C0210"/>
    <w:pPr>
      <w:widowControl w:val="0"/>
      <w:jc w:val="center"/>
    </w:pPr>
    <w:rPr>
      <w:szCs w:val="20"/>
      <w:lang w:eastAsia="ru-RU" w:val="ru-RU"/>
    </w:rPr>
  </w:style>
  <w:style w:type="paragraph" w:styleId="ac" w:customStyle="1">
    <w:name w:val="Рисунок_подпись"/>
    <w:basedOn w:val="a"/>
    <w:rsid w:val="002C0210"/>
    <w:pPr>
      <w:jc w:val="center"/>
    </w:pPr>
    <w:rPr>
      <w:sz w:val="20"/>
      <w:lang w:eastAsia="uk-UA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10.bin"/><Relationship Id="rId22" Type="http://schemas.openxmlformats.org/officeDocument/2006/relationships/oleObject" Target="embeddings/oleObject11.bin"/><Relationship Id="rId21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3" Type="http://schemas.openxmlformats.org/officeDocument/2006/relationships/image" Target="media/image12.wmf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26" Type="http://schemas.openxmlformats.org/officeDocument/2006/relationships/settings" Target="settings.xml"/><Relationship Id="rId9" Type="http://schemas.openxmlformats.org/officeDocument/2006/relationships/image" Target="media/image5.wmf"/><Relationship Id="rId25" Type="http://schemas.openxmlformats.org/officeDocument/2006/relationships/theme" Target="theme/theme1.xml"/><Relationship Id="rId28" Type="http://schemas.openxmlformats.org/officeDocument/2006/relationships/numbering" Target="numbering.xml"/><Relationship Id="rId27" Type="http://schemas.openxmlformats.org/officeDocument/2006/relationships/fontTable" Target="fontTable.xml"/><Relationship Id="rId5" Type="http://schemas.openxmlformats.org/officeDocument/2006/relationships/image" Target="media/image4.wmf"/><Relationship Id="rId29" Type="http://schemas.openxmlformats.org/officeDocument/2006/relationships/styles" Target="styles.xml"/><Relationship Id="rId6" Type="http://schemas.openxmlformats.org/officeDocument/2006/relationships/oleObject" Target="embeddings/oleObject4.bin"/><Relationship Id="rId7" Type="http://schemas.openxmlformats.org/officeDocument/2006/relationships/image" Target="media/image3.wmf"/><Relationship Id="rId8" Type="http://schemas.openxmlformats.org/officeDocument/2006/relationships/oleObject" Target="embeddings/oleObject3.bin"/><Relationship Id="rId31" Type="http://schemas.openxmlformats.org/officeDocument/2006/relationships/image" Target="media/image14.png"/><Relationship Id="rId30" Type="http://schemas.openxmlformats.org/officeDocument/2006/relationships/customXml" Target="../customXML/item1.xml"/><Relationship Id="rId11" Type="http://schemas.openxmlformats.org/officeDocument/2006/relationships/image" Target="media/image6.wmf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10" Type="http://schemas.openxmlformats.org/officeDocument/2006/relationships/oleObject" Target="embeddings/oleObject5.bin"/><Relationship Id="rId13" Type="http://schemas.openxmlformats.org/officeDocument/2006/relationships/image" Target="media/image9.wmf"/><Relationship Id="rId35" Type="http://schemas.openxmlformats.org/officeDocument/2006/relationships/image" Target="media/image17.png"/><Relationship Id="rId12" Type="http://schemas.openxmlformats.org/officeDocument/2006/relationships/oleObject" Target="embeddings/oleObject6.bin"/><Relationship Id="rId34" Type="http://schemas.openxmlformats.org/officeDocument/2006/relationships/image" Target="media/image13.png"/><Relationship Id="rId15" Type="http://schemas.openxmlformats.org/officeDocument/2006/relationships/image" Target="media/image7.wmf"/><Relationship Id="rId37" Type="http://schemas.openxmlformats.org/officeDocument/2006/relationships/image" Target="media/image19.png"/><Relationship Id="rId14" Type="http://schemas.openxmlformats.org/officeDocument/2006/relationships/oleObject" Target="embeddings/oleObject9.bin"/><Relationship Id="rId36" Type="http://schemas.openxmlformats.org/officeDocument/2006/relationships/image" Target="media/image18.png"/><Relationship Id="rId17" Type="http://schemas.openxmlformats.org/officeDocument/2006/relationships/image" Target="media/image8.wmf"/><Relationship Id="rId16" Type="http://schemas.openxmlformats.org/officeDocument/2006/relationships/oleObject" Target="embeddings/oleObject7.bin"/><Relationship Id="rId38" Type="http://schemas.openxmlformats.org/officeDocument/2006/relationships/image" Target="media/image20.png"/><Relationship Id="rId19" Type="http://schemas.openxmlformats.org/officeDocument/2006/relationships/image" Target="media/image10.wmf"/><Relationship Id="rId18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WDNLQR/DDwwlp2fjOgttmj4cQ==">CgMxLjAaFAoBMBIPCg0IB0IJEgdHdW5nc3VoGhQKATESDwoNCAdCCRIHR3VuZ3N1aDgAciExdW9NLW1EZnYxMzluRmRKV2ZlNVR2aFROa1dXOXl0Z1o=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2023-05-22T14:35:00Z</dcterms:created>
  <dc:creator>Максим Кириченко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94e714aca09255d6ec630b1cd171a4ce99cdd87688c7898f5c698a968c871d45</vt:lpwstr>
  </property>
</Properties>
</file>