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C5F4" w14:textId="0F55135D" w:rsidR="00343164" w:rsidRPr="00220081" w:rsidRDefault="00E375C1" w:rsidP="0022008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Оценка уровня цифровой грамотности населения Российской Федерации</w:t>
      </w:r>
    </w:p>
    <w:p w14:paraId="2FBFF629" w14:textId="6CDE1D5F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Маслов Александр Николаевич</w:t>
      </w:r>
    </w:p>
    <w:p w14:paraId="02787137" w14:textId="7065F5D6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студент, факультета информационных технологий и анализа больших данных Специальность: Информационные системы и технологии</w:t>
      </w:r>
    </w:p>
    <w:p w14:paraId="619BFEC1" w14:textId="77CA9FBE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"Финансовый университет при Правительстве РФ",</w:t>
      </w:r>
    </w:p>
    <w:p w14:paraId="38891FA9" w14:textId="4018B3D9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г.</w:t>
      </w:r>
      <w:r w:rsidR="00220081"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Москва</w:t>
      </w:r>
    </w:p>
    <w:p w14:paraId="641754FE" w14:textId="0EB857D0" w:rsidR="00343164" w:rsidRDefault="00343164" w:rsidP="00220081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D4A3F" w14:textId="117A97C0" w:rsidR="00343164" w:rsidRPr="00220081" w:rsidRDefault="00220081" w:rsidP="00D71768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Аннотация: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Цифровая грамотность становится все более важным аспектом в образовании и развитии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экономики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современном информационном обществе. В данной научной статье проводится оценка уровня цифровой грамотности в Российской Федерации на основе анализа существующих исследований и </w:t>
      </w:r>
      <w:r w:rsidR="00D71768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>, выявлены</w:t>
      </w:r>
      <w:r w:rsidR="00D71768" w:rsidRP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основные тенденции, проблемы и различия в уровне цифровой грамотности</w:t>
      </w:r>
      <w:r w:rsid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также рассматриваются </w:t>
      </w:r>
      <w:r w:rsidR="001730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понятие цифровой грамотности и 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составляющие индекса цифровой грамотности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D717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88DF0FB" w14:textId="650A6386" w:rsidR="00343164" w:rsidRDefault="00343164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Ключевые слова: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Цифровая грамотность, </w:t>
      </w:r>
      <w:r w:rsidR="000A4E37">
        <w:rPr>
          <w:rFonts w:ascii="Times New Roman" w:eastAsia="Times New Roman" w:hAnsi="Times New Roman" w:cs="Times New Roman"/>
          <w:sz w:val="26"/>
          <w:szCs w:val="26"/>
          <w:lang w:eastAsia="ru-RU"/>
        </w:rPr>
        <w:t>оценка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>, индекс цифровой грамотности.</w:t>
      </w:r>
    </w:p>
    <w:p w14:paraId="4AAEE367" w14:textId="77777777" w:rsidR="00E375C1" w:rsidRPr="00E375C1" w:rsidRDefault="00E375C1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5099EF1" w14:textId="1EB93FE8" w:rsidR="00D225EC" w:rsidRDefault="00D225EC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Цифровая грамотность становится неотъемлемой частью жизни в современном мире, где цифровые технологии играют ключевую роль в различных сферах деятельности. 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исследованию профессора Шарикова А.В.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статье «К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онцепции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грамотности: российский опыт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научных публикаций, найденных по ключевому словосочетанию «цифровая грамотность»</w:t>
      </w:r>
      <w:r w:rsid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базе данных Российского индекса научного цитирования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растёт и к 2018 году их насчитывается уже 227, что свидетельств</w:t>
      </w:r>
      <w:r w:rsidR="001730A2">
        <w:rPr>
          <w:rFonts w:ascii="Times New Roman" w:eastAsia="Times New Roman" w:hAnsi="Times New Roman" w:cs="Times New Roman"/>
          <w:sz w:val="28"/>
          <w:szCs w:val="28"/>
          <w:lang w:eastAsia="ru-RU"/>
        </w:rPr>
        <w:t>ует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наличие интереса </w:t>
      </w:r>
      <w:r w:rsid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>и актуальности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30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цифровой грамотности в Российской Федерации.</w:t>
      </w:r>
      <w:r w:rsid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_Ref166635910 \r \h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7A8CF3C" w14:textId="4BAC9A11" w:rsidR="00E84614" w:rsidRPr="004475D9" w:rsidRDefault="00E84614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приступать к оценке цифровой грамотности в Российской Федерации, необходимо дать ему определение. Согласно научной статье В.И.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Токтаров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«Цифровая грамотность</w:t>
      </w:r>
      <w:r w:rsidRP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понятие, компоненты и оценка» актуальное определение цифровой грамотности было дано в 2015 году в рамках проекта «Индекс цифровой грамотности»</w:t>
      </w:r>
      <w:r w:rsidRP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«Цифровая грамотность – набор знаний и умений, которые необходимы для безопасного и эффективного использования цифровых технологий и ресурсов интернета. Включает в себя цифровое потребление, цифровые компетенции, цифровую безопасность.»  </w: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REF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_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Ref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166635950 \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h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71C0EDB" w14:textId="53A553F6" w:rsidR="000A4E37" w:rsidRPr="00D43D47" w:rsidRDefault="00E84614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Также 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A4E37"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рофессор Шариков А.В. раскрывает четыре компонента, которые характеризуют цифровую грамотность:</w:t>
      </w:r>
    </w:p>
    <w:p w14:paraId="40C0B760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Технико-технологические возможности. Данная компонента носит утилитаристский, прагматический характер в освоении цифровой среды, что создает предпосылки как для расширения содержательно-коммуникативных возможностей человека, так и для реализации его креативного потенциала с использованием цифровых технологий. </w:t>
      </w:r>
    </w:p>
    <w:p w14:paraId="5FE47EE0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Содержательно-коммуникативные возможности. Данная компонента рассматривает реализацию социокультурных аспектов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медиатизированной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коммуникации межличностного, личностно-группового и массового уровней. Это также расширенные возможности создания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медиатекстов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получения новых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медиатекстов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других участников коммуникационных процессов, их восприятия и интерпретации. </w:t>
      </w:r>
    </w:p>
    <w:p w14:paraId="1B752FEC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Технико-технологические угрозы. Речь идет о безопасности используемых устройств и программного обеспечения, формировании знаний, умений навыков работы с инструментами, обеспечивающими такую безопасность. </w:t>
      </w:r>
    </w:p>
    <w:p w14:paraId="5B1F2F1C" w14:textId="0FC8D8E4" w:rsidR="00E84614" w:rsidRPr="009A0337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Социопсихологические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угрозы. Это наиболее сложная для изучения и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операционализации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компонента цифровой грамотности, в структуру которой входят социально-психологические и этические аспекты</w:t>
      </w:r>
      <w:r w:rsidR="00271559" w:rsidRPr="00271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68F2EF" w14:textId="7FD0EC19" w:rsidR="00D225EC" w:rsidRDefault="00D225EC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5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цифровой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грамотности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статье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В.И. </w:t>
      </w:r>
      <w:proofErr w:type="spellStart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Токтаров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spellEnd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О.В. </w:t>
      </w:r>
      <w:proofErr w:type="spellStart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Ребко</w:t>
      </w:r>
      <w:proofErr w:type="spellEnd"/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цифровой грамотности, основанный на трёх подходах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093277" w14:textId="6C23E88A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– отражает понимание принципов работы различных устройств и технологий, навыки поиска информации в различных форматах;</w:t>
      </w:r>
    </w:p>
    <w:p w14:paraId="7E2373C8" w14:textId="55A6462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когнитивный – включает в себя способность к поиску, восприятию, анализу, оценке и созданию информации, коммуникация в цифровой среде;</w:t>
      </w:r>
    </w:p>
    <w:p w14:paraId="1F7FB810" w14:textId="56CDA62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этический – представляет собой понимание личной ответственности и следование общественным нормам при работе с информацией и общении в цифровой среде.</w:t>
      </w:r>
      <w:r w:rsidR="00813A2D" w:rsidRP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0643643" w14:textId="1501E568" w:rsidR="00B2183F" w:rsidRPr="00B2183F" w:rsidRDefault="00B2183F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статье «Цифровая грамотность населения как основа развития рынка труда в России» за авторством Свистунова В.М., Коноваловой В.Г. и Лобачева В.В. выделяются три субиндекса</w:t>
      </w:r>
      <w:r w:rsidRP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74459B" w14:textId="45164E76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цифрового потребления – позволяет оценить</w:t>
      </w:r>
      <w:r w:rsidR="00B2183F" w:rsidRP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охвата населения страны фиксированным и мобильным Интернетом; наличие в личном использовании граждан цифровых устройств индивидуального и коллективного пользования; число зарегистрированных в конкретном регионе интернет-СМИ в расчете на душу населения; активность использования социальных сетей, цифровых государственных услуг и др.;</w:t>
      </w:r>
    </w:p>
    <w:p w14:paraId="44362764" w14:textId="66F2C721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цифровых компетенций – дает оценку компетентности населения в поиске информации в сети Интернет, использования мобильных средств коммуникации и социальных сетей, осуществления финансовых операций и приобретения товаров и услуг с помощью средств Интернет, критическом восприятии информации, проверке ее достоверности, производстве мультимедийного контента для сети Интернет;</w:t>
      </w:r>
    </w:p>
    <w:p w14:paraId="7EC10F40" w14:textId="63B0F2ED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цифровой безопасности – отражает наличие у граждан общих и профессиональных знаний и навыков, обеспечивающих защиту персональных данных и позволяющих вести борьбу с угрозами целостности информации и компьютерными вирусами. Показатель формируется с учетом отношения граждан к применению «пиратского» ПО и медийного контента, культуры взаимодействия в социальных сетях и соблюдения этических норм при размещении цифрового контента.</w:t>
      </w:r>
      <w:r w:rsidR="00813A2D" w:rsidRP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_Ref166635973 \r \h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04076B63" w14:textId="3AB30001" w:rsidR="008B636D" w:rsidRPr="008B636D" w:rsidRDefault="008B636D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Анализируя тренды изменения цифровой грамотности, эксперты РОЦИТ отмечают развитие инфраструктуры и вовлеченности россиян в информационные процессы, рост и расширение спектра цифровых компетенций. За период с 2015 по 2018 гг. отмечен значительный рост в использовании населением России систем поиска информации, финансовых </w:t>
      </w: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онлайн-сервисов, а также электронных государственных услуг (в 2015 году 38,9% россиян ежедневно применяли поисковые системы, а в 2018 году этот показатель достиг 49,7%).</w:t>
      </w:r>
    </w:p>
    <w:p w14:paraId="67046C7B" w14:textId="249B1419" w:rsidR="009A0337" w:rsidRPr="008B636D" w:rsidRDefault="009A0337" w:rsidP="00813A2D">
      <w:pPr>
        <w:pStyle w:val="a7"/>
        <w:spacing w:after="0" w:line="360" w:lineRule="auto"/>
        <w:ind w:left="0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Динамика индексов/субиндексов цифровой грамотности населения Российской Федерации 2015-2018 гг.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2777"/>
        <w:gridCol w:w="1621"/>
        <w:gridCol w:w="1645"/>
        <w:gridCol w:w="1645"/>
        <w:gridCol w:w="1645"/>
      </w:tblGrid>
      <w:tr w:rsidR="009A0337" w14:paraId="5BD6FE46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77807AB0" w14:textId="3ED7E78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621" w:type="dxa"/>
            <w:vAlign w:val="center"/>
          </w:tcPr>
          <w:p w14:paraId="16EFA900" w14:textId="6FC866EA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2015 г.</w:t>
            </w:r>
          </w:p>
        </w:tc>
        <w:tc>
          <w:tcPr>
            <w:tcW w:w="1645" w:type="dxa"/>
            <w:vAlign w:val="center"/>
          </w:tcPr>
          <w:p w14:paraId="0333309B" w14:textId="22F6A84B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2016 г.</w:t>
            </w:r>
          </w:p>
        </w:tc>
        <w:tc>
          <w:tcPr>
            <w:tcW w:w="1645" w:type="dxa"/>
            <w:vAlign w:val="center"/>
          </w:tcPr>
          <w:p w14:paraId="5DDC6859" w14:textId="79A16CC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2017 г.</w:t>
            </w:r>
          </w:p>
        </w:tc>
        <w:tc>
          <w:tcPr>
            <w:tcW w:w="1645" w:type="dxa"/>
            <w:vAlign w:val="center"/>
          </w:tcPr>
          <w:p w14:paraId="6B9C0775" w14:textId="0F633F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2018 г.</w:t>
            </w:r>
          </w:p>
        </w:tc>
      </w:tr>
      <w:tr w:rsidR="009A0337" w14:paraId="24179BA8" w14:textId="77777777" w:rsidTr="00813A2D">
        <w:trPr>
          <w:trHeight w:val="665"/>
        </w:trPr>
        <w:tc>
          <w:tcPr>
            <w:tcW w:w="2777" w:type="dxa"/>
            <w:vAlign w:val="center"/>
          </w:tcPr>
          <w:p w14:paraId="61E5BD7C" w14:textId="41CBE311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цифровой грамотности</w:t>
            </w:r>
          </w:p>
        </w:tc>
        <w:tc>
          <w:tcPr>
            <w:tcW w:w="1621" w:type="dxa"/>
            <w:vAlign w:val="center"/>
          </w:tcPr>
          <w:p w14:paraId="45A33A21" w14:textId="5D0B04B1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,79</w:t>
            </w:r>
          </w:p>
        </w:tc>
        <w:tc>
          <w:tcPr>
            <w:tcW w:w="1645" w:type="dxa"/>
            <w:vAlign w:val="center"/>
          </w:tcPr>
          <w:p w14:paraId="21F9D609" w14:textId="372B6C3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5,42</w:t>
            </w:r>
          </w:p>
        </w:tc>
        <w:tc>
          <w:tcPr>
            <w:tcW w:w="1645" w:type="dxa"/>
            <w:vAlign w:val="center"/>
          </w:tcPr>
          <w:p w14:paraId="0894ED24" w14:textId="371437D8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5,99</w:t>
            </w:r>
          </w:p>
        </w:tc>
        <w:tc>
          <w:tcPr>
            <w:tcW w:w="1645" w:type="dxa"/>
            <w:vAlign w:val="center"/>
          </w:tcPr>
          <w:p w14:paraId="545A37B2" w14:textId="2547333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4,52</w:t>
            </w:r>
          </w:p>
        </w:tc>
      </w:tr>
      <w:tr w:rsidR="009A0337" w14:paraId="2C5FAFE6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38BB3667" w14:textId="4C593E43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Субиндексы</w:t>
            </w: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1621" w:type="dxa"/>
            <w:vAlign w:val="center"/>
          </w:tcPr>
          <w:p w14:paraId="0122D401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302BE1E3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1E858BCC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0450D749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337" w14:paraId="1BA7C834" w14:textId="77777777" w:rsidTr="00813A2D">
        <w:trPr>
          <w:trHeight w:val="339"/>
        </w:trPr>
        <w:tc>
          <w:tcPr>
            <w:tcW w:w="2777" w:type="dxa"/>
            <w:vAlign w:val="center"/>
          </w:tcPr>
          <w:p w14:paraId="6DEBD85E" w14:textId="7FB94DA0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Цифровые компетенции</w:t>
            </w:r>
          </w:p>
        </w:tc>
        <w:tc>
          <w:tcPr>
            <w:tcW w:w="1621" w:type="dxa"/>
            <w:vAlign w:val="center"/>
          </w:tcPr>
          <w:p w14:paraId="0BD86D20" w14:textId="5B0EB852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4,48</w:t>
            </w:r>
          </w:p>
        </w:tc>
        <w:tc>
          <w:tcPr>
            <w:tcW w:w="1645" w:type="dxa"/>
            <w:vAlign w:val="center"/>
          </w:tcPr>
          <w:p w14:paraId="08DF0DC4" w14:textId="33CC33C3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5,27</w:t>
            </w:r>
          </w:p>
        </w:tc>
        <w:tc>
          <w:tcPr>
            <w:tcW w:w="1645" w:type="dxa"/>
            <w:vAlign w:val="center"/>
          </w:tcPr>
          <w:p w14:paraId="701FC0F6" w14:textId="280967C2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6,48</w:t>
            </w:r>
          </w:p>
        </w:tc>
        <w:tc>
          <w:tcPr>
            <w:tcW w:w="1645" w:type="dxa"/>
            <w:vAlign w:val="center"/>
          </w:tcPr>
          <w:p w14:paraId="0D3A9661" w14:textId="3B4E5C8D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5,44</w:t>
            </w:r>
          </w:p>
        </w:tc>
      </w:tr>
      <w:tr w:rsidR="009A0337" w14:paraId="06930FEC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0EB838E1" w14:textId="64C474B2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Цифровое потребление</w:t>
            </w:r>
          </w:p>
        </w:tc>
        <w:tc>
          <w:tcPr>
            <w:tcW w:w="1621" w:type="dxa"/>
            <w:vAlign w:val="center"/>
          </w:tcPr>
          <w:p w14:paraId="4C6AB5E0" w14:textId="33C861B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5,17</w:t>
            </w:r>
          </w:p>
        </w:tc>
        <w:tc>
          <w:tcPr>
            <w:tcW w:w="1645" w:type="dxa"/>
            <w:vAlign w:val="center"/>
          </w:tcPr>
          <w:p w14:paraId="34D03DAC" w14:textId="7F20A9B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5,49</w:t>
            </w:r>
          </w:p>
        </w:tc>
        <w:tc>
          <w:tcPr>
            <w:tcW w:w="1645" w:type="dxa"/>
            <w:vAlign w:val="center"/>
          </w:tcPr>
          <w:p w14:paraId="33DACD85" w14:textId="068ED6FA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5,35</w:t>
            </w:r>
          </w:p>
        </w:tc>
        <w:tc>
          <w:tcPr>
            <w:tcW w:w="1645" w:type="dxa"/>
            <w:vAlign w:val="center"/>
          </w:tcPr>
          <w:p w14:paraId="6C0B3F94" w14:textId="7B9209F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4,49</w:t>
            </w:r>
          </w:p>
        </w:tc>
      </w:tr>
      <w:tr w:rsidR="009A0337" w14:paraId="2E9816D7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3DB95254" w14:textId="5E7E67B9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Цифровая безопасность</w:t>
            </w:r>
          </w:p>
        </w:tc>
        <w:tc>
          <w:tcPr>
            <w:tcW w:w="1621" w:type="dxa"/>
            <w:vAlign w:val="center"/>
          </w:tcPr>
          <w:p w14:paraId="099848BF" w14:textId="7042E781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4,86</w:t>
            </w:r>
          </w:p>
        </w:tc>
        <w:tc>
          <w:tcPr>
            <w:tcW w:w="1645" w:type="dxa"/>
            <w:vAlign w:val="center"/>
          </w:tcPr>
          <w:p w14:paraId="322B6DE7" w14:textId="6FE5719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5,57</w:t>
            </w:r>
          </w:p>
        </w:tc>
        <w:tc>
          <w:tcPr>
            <w:tcW w:w="1645" w:type="dxa"/>
            <w:vAlign w:val="center"/>
          </w:tcPr>
          <w:p w14:paraId="4723F855" w14:textId="2BCF8D7E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5,43</w:t>
            </w:r>
          </w:p>
        </w:tc>
        <w:tc>
          <w:tcPr>
            <w:tcW w:w="1645" w:type="dxa"/>
            <w:vAlign w:val="center"/>
          </w:tcPr>
          <w:p w14:paraId="49FA9E4F" w14:textId="0DBE1B64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3,29</w:t>
            </w:r>
          </w:p>
        </w:tc>
      </w:tr>
    </w:tbl>
    <w:p w14:paraId="252D7A0D" w14:textId="77777777" w:rsidR="004475D9" w:rsidRPr="001730A2" w:rsidRDefault="004475D9" w:rsidP="001730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31EC8" w14:textId="4C66AA80" w:rsidR="00E375C1" w:rsidRPr="00D403FC" w:rsidRDefault="009A0337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Проанализировав оценку индекса цифровой грамотности с 2015 </w:t>
      </w:r>
      <w:r w:rsid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2018 год,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вывод, что всё большее число жителей Российской Федерации начинают пользоваться цифровыми технологиями для различных нужд, что в свою очередь обостряет проблему информационной безопасности и критического мышления</w:t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остается проблема территориальных различий в цифровой восприимчивости населения. </w:t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_Ref166636865 \r \h </w:instrTex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B662DEC" w14:textId="77777777" w:rsidR="004475D9" w:rsidRPr="00D403FC" w:rsidRDefault="004475D9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AFE53" w14:textId="1A525AD3" w:rsidR="00343164" w:rsidRPr="00D225EC" w:rsidRDefault="00220081" w:rsidP="004475D9">
      <w:pPr>
        <w:spacing w:after="0" w:line="360" w:lineRule="auto"/>
        <w:ind w:firstLine="8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Литература</w:t>
      </w:r>
    </w:p>
    <w:p w14:paraId="213445F2" w14:textId="646E69F2" w:rsidR="004475D9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Ref166635910"/>
      <w:r w:rsidRPr="004475D9">
        <w:rPr>
          <w:rFonts w:ascii="Times New Roman" w:hAnsi="Times New Roman" w:cs="Times New Roman"/>
          <w:sz w:val="28"/>
          <w:szCs w:val="28"/>
        </w:rPr>
        <w:t>Шариков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5D9">
        <w:rPr>
          <w:rFonts w:ascii="Times New Roman" w:hAnsi="Times New Roman" w:cs="Times New Roman"/>
          <w:sz w:val="28"/>
          <w:szCs w:val="28"/>
        </w:rPr>
        <w:t>А. В. (2018). Концепции цифровой грамотности: российский опыт.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Коммуникации. Медиа. Дизайн</w:t>
      </w:r>
      <w:r w:rsidRPr="004475D9">
        <w:rPr>
          <w:rFonts w:ascii="Times New Roman" w:hAnsi="Times New Roman" w:cs="Times New Roman"/>
          <w:sz w:val="28"/>
          <w:szCs w:val="28"/>
        </w:rPr>
        <w:t>,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475D9">
        <w:rPr>
          <w:rFonts w:ascii="Times New Roman" w:hAnsi="Times New Roman" w:cs="Times New Roman"/>
          <w:sz w:val="28"/>
          <w:szCs w:val="28"/>
        </w:rPr>
        <w:t>(3), 96-112. извлечено от https://cmd-journal.hse.ru/article/view/8559</w:t>
      </w:r>
      <w:bookmarkEnd w:id="0"/>
    </w:p>
    <w:p w14:paraId="7D42AA3D" w14:textId="17110707" w:rsidR="004475D9" w:rsidRPr="00200C93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5D9">
        <w:rPr>
          <w:rFonts w:ascii="Times New Roman" w:hAnsi="Times New Roman" w:cs="Times New Roman"/>
          <w:sz w:val="28"/>
          <w:szCs w:val="28"/>
        </w:rPr>
        <w:t>Овчинников С.С.  Оценка цифровой грамотности государственных служащих // Политика и Общество.  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>2022.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 xml:space="preserve">№ 4.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475D9">
        <w:rPr>
          <w:rFonts w:ascii="Times New Roman" w:hAnsi="Times New Roman" w:cs="Times New Roman"/>
          <w:sz w:val="28"/>
          <w:szCs w:val="28"/>
        </w:rPr>
        <w:t>С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 xml:space="preserve">. 42-50.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 xml:space="preserve">: 10.7256/2454-0684.2022.4.39436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EDN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FPIOBS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>://</w:t>
      </w:r>
      <w:proofErr w:type="spellStart"/>
      <w:r w:rsidRPr="004475D9">
        <w:rPr>
          <w:rFonts w:ascii="Times New Roman" w:hAnsi="Times New Roman" w:cs="Times New Roman"/>
          <w:sz w:val="28"/>
          <w:szCs w:val="28"/>
          <w:lang w:val="en-US"/>
        </w:rPr>
        <w:t>nbpublish</w:t>
      </w:r>
      <w:proofErr w:type="spellEnd"/>
      <w:r w:rsidRPr="00200C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475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00C93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0C93">
        <w:rPr>
          <w:rFonts w:ascii="Times New Roman" w:hAnsi="Times New Roman" w:cs="Times New Roman"/>
          <w:sz w:val="28"/>
          <w:szCs w:val="28"/>
          <w:lang w:val="en-US"/>
        </w:rPr>
        <w:t>=39436</w:t>
      </w:r>
    </w:p>
    <w:p w14:paraId="69C5F871" w14:textId="63E738EB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Ref166635950"/>
      <w:proofErr w:type="spellStart"/>
      <w:r w:rsidRPr="004475D9">
        <w:rPr>
          <w:rFonts w:ascii="Times New Roman" w:hAnsi="Times New Roman" w:cs="Times New Roman"/>
          <w:sz w:val="28"/>
          <w:szCs w:val="28"/>
        </w:rPr>
        <w:t>Токтарова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Вера Ивановна, </w:t>
      </w:r>
      <w:proofErr w:type="spellStart"/>
      <w:r w:rsidRPr="004475D9">
        <w:rPr>
          <w:rFonts w:ascii="Times New Roman" w:hAnsi="Times New Roman" w:cs="Times New Roman"/>
          <w:sz w:val="28"/>
          <w:szCs w:val="28"/>
        </w:rPr>
        <w:t>Ребко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Ольга Васильевна Цифровая грамотность: понятие, компоненты и оценка // Вестник Марийского государственного университета.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2021. №2 (42).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https://cyberleninka.ru/article/n/tsifrovaya-gramotnost-ponyatie-komponenty-i-otsenka</w:t>
      </w:r>
      <w:bookmarkEnd w:id="1"/>
    </w:p>
    <w:p w14:paraId="48768720" w14:textId="387F702E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Ref166635973"/>
      <w:r w:rsidRPr="004475D9">
        <w:rPr>
          <w:rFonts w:ascii="Times New Roman" w:hAnsi="Times New Roman" w:cs="Times New Roman"/>
          <w:sz w:val="28"/>
          <w:szCs w:val="28"/>
        </w:rPr>
        <w:t xml:space="preserve">Свистунов Василий Михайлович, Коновалова Валерия Германовна, Лобачев Виталий Владимирович ЦИФРОВАЯ ГРАМОТНОСТЬ НАСЕЛЕНИЯ КАК ОСНОВА РАЗВИТИЯ РЫНКА ТРУДА В РОССИИ // УПИРР.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2020. №2. URL: https://cyberleninka.ru/article/n/tsifrovaya-gramotnost-naseleniya-kak-osnova-razvitiya-rynka-truda-v-rossii </w:t>
      </w:r>
      <w:bookmarkEnd w:id="2"/>
    </w:p>
    <w:p w14:paraId="23916D13" w14:textId="5F697E1A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Ref166636865"/>
      <w:r w:rsidRPr="004475D9">
        <w:rPr>
          <w:rFonts w:ascii="Times New Roman" w:hAnsi="Times New Roman" w:cs="Times New Roman"/>
          <w:sz w:val="28"/>
          <w:szCs w:val="28"/>
        </w:rPr>
        <w:t xml:space="preserve">Михайлова Анна Алексеевна МЕЖМУНИЦИПАЛЬНЫЕ РАЗЛИЧИЯ В ЦИФРОВОЙ ВОСПРИИМЧИВОСТИ НАСЕЛЕНИЯ // Мониторинг.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№4 (170).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https://cyberleninka.ru/article/n/mezhmunitsipalnye-razlichiya-v-tsifrovoy-vospriimchivosti-naseleniya</w:t>
      </w:r>
      <w:bookmarkEnd w:id="3"/>
    </w:p>
    <w:p w14:paraId="309FC2CC" w14:textId="0CC73249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5D9">
        <w:rPr>
          <w:rFonts w:ascii="Times New Roman" w:hAnsi="Times New Roman" w:cs="Times New Roman"/>
          <w:sz w:val="28"/>
          <w:szCs w:val="28"/>
        </w:rPr>
        <w:t>Халяпина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Л.В., Букреева И.В., Гречкина А.А. Цифровая грамотность педагогов как ресурс совершенствования системы образования.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Вестник Северо-Кавказского федерального университета</w:t>
      </w:r>
      <w:r w:rsidRPr="004475D9">
        <w:rPr>
          <w:rFonts w:ascii="Times New Roman" w:hAnsi="Times New Roman" w:cs="Times New Roman"/>
          <w:sz w:val="28"/>
          <w:szCs w:val="28"/>
        </w:rPr>
        <w:t>. 2022;(4):273-282. </w:t>
      </w:r>
      <w:r w:rsidR="00166E34" w:rsidRPr="00166E34">
        <w:rPr>
          <w:rFonts w:ascii="Times New Roman" w:hAnsi="Times New Roman" w:cs="Times New Roman"/>
          <w:sz w:val="28"/>
          <w:szCs w:val="28"/>
        </w:rPr>
        <w:t>https://doi.org/10.37493/2307-907X.2022.4.32</w:t>
      </w:r>
    </w:p>
    <w:p w14:paraId="4B804783" w14:textId="467B16EC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Арутюнян С. А. К ВОПРОСУ О ЦИФРОВОЙ ГРАМОТНОСТИ //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StudNet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2023. №3. URL: https://cyberleninka.ru/article/n/k-voprosu-o-tsifrovoy-gramotnosti-1 </w:t>
      </w:r>
    </w:p>
    <w:p w14:paraId="44962FDC" w14:textId="58C21A6E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Исохужаева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Мунира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Яшнаровна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Цифровая грамотность - 2020 // Индустриальная экономика. 2020. №1. URL: https://cyberleninka.ru/article/n/tsifrovaya-gramotnost-2020 </w:t>
      </w:r>
    </w:p>
    <w:p w14:paraId="33BEECFF" w14:textId="1BFE8A48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Захарова Анастасия Сергеевна К ВОПРОСУ О ЦИФРОВОЙ ГРАМОТНОСТИ СТУДЕНТОВ // Скиф. 2023.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№6 (82).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https://cyberleninka.ru/article/n/k-voprosu-o-tsifrovoy-gramotnosti-studentov</w:t>
      </w:r>
    </w:p>
    <w:p w14:paraId="757F4DD0" w14:textId="3E3B0345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Ланецкая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А.Ю. СОСТОЯНИЕ ИНФОРМАЦИОННОЙ БЕЗОПАСНОСТИ РОССИИ КАК ФАКТОР РАЗВИТИЯ ЭКОНОМИКИ // Международный журнал гуманитарных и естественных наук.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№10-4.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https://cyberleninka.ru/article/n/sostoyanie-informatsionnoy-bezopasnosti-rossii-kak-faktor-razvitiya-ekonomiki</w:t>
      </w:r>
    </w:p>
    <w:p w14:paraId="4E39A187" w14:textId="56FFAC6F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lastRenderedPageBreak/>
        <w:t xml:space="preserve">Курочкина Анна Александровна, Лукина Ольга Владимировна, Шарапова Анфиса Олеговна ПРОБЛЕМА ЦИФРОВОЙ ГРАМОТНОСТИ СПЕЦИАЛИСТОВ СЕРЕБРЯНОГО ВОЗРАСТА В ПЕРИОД ЦИФРОВОЙ ТРАНСФОРМАЦИИ // Инновационная экономика: перспективы развития и совершенствования.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№6 (64).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https://cyberleninka.ru/article/n/problema-tsifrovoy-gramotnosti-spetsialistov-serebryanogo-vozrasta-v-period-tsifrovoy-transformatsii</w:t>
      </w:r>
    </w:p>
    <w:p w14:paraId="771382A4" w14:textId="0BF8235A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Амирова Р.И. ЦИФРОВАЯ ГРАМОТНОСТЬ КАК ФАКТОР РАЗВИТИЯ СОЦИАЛЬНОГО КАПИТАЛА // Экономика и бизнес: теория и практика.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2023. №5-1 (99).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URL: https://cyberleninka.ru/article/n/tsifrovaya-gramotnost-kak-faktor-razvitiya-sotsialnogo-kapitala </w:t>
      </w:r>
    </w:p>
    <w:p w14:paraId="418BB21B" w14:textId="059A9689" w:rsid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Мурад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Агаджанович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Вердиев, Идрис Керимович Идрисов, Наталья Леонидовна Голикова От цифры к цифровой грамотности в современных реалиях // Образование. Наука. Научные кадры. 2022. №2. URL: https://cyberleninka.ru/article/n/ot-tsifry-k-tsifrovoy-gramotnosti-v-sovremennyh-realiyah </w:t>
      </w:r>
    </w:p>
    <w:p w14:paraId="777682D9" w14:textId="590DE86E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Гарифуллина Альбина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Фатиховна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, Мурзина Эльмира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Фаниловна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Хужин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Рашит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Аетбаевич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ЦИФРОВАЯ ГРАМОТНОСТЬ НАСЕЛЕНИЯ: ПРОБЛЕМЫ И ПУТИ РЕШЕНИЯ // Гуманитарные, социально-экономические и общественные науки.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№11-1. URL: https://cyberleninka.ru/article/n/tsifrovaya-gramotnost-naseleniya-problemy-i-puti-resheniya </w:t>
      </w:r>
    </w:p>
    <w:p w14:paraId="0134FCCE" w14:textId="2E499CB7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Иванченко Д.А. К ВОПРОСУ ФОРМИРОВАНИЯ И ОЦЕНКИ ЦИФРОВОЙ ГРАМОТНОСТИ ЛИЧНОСТИ // Проблемы современного образования.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2020. №3. URL: https://cyberleninka.ru/article/n/k-voprosu-formirovaniya-i-otsenki-tsifrovoy-gramotnosti-lichnosti </w:t>
      </w:r>
    </w:p>
    <w:p w14:paraId="74433C17" w14:textId="77777777" w:rsidR="004D606B" w:rsidRPr="00FD7D98" w:rsidRDefault="004D606B" w:rsidP="00343164">
      <w:pPr>
        <w:rPr>
          <w:lang w:val="en-US"/>
        </w:rPr>
      </w:pPr>
    </w:p>
    <w:sectPr w:rsidR="004D606B" w:rsidRPr="00FD7D98" w:rsidSect="0069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CE6AC" w14:textId="77777777" w:rsidR="00A46E49" w:rsidRDefault="00A46E49" w:rsidP="00343164">
      <w:pPr>
        <w:spacing w:after="0" w:line="240" w:lineRule="auto"/>
      </w:pPr>
      <w:r>
        <w:separator/>
      </w:r>
    </w:p>
  </w:endnote>
  <w:endnote w:type="continuationSeparator" w:id="0">
    <w:p w14:paraId="511B0B7B" w14:textId="77777777" w:rsidR="00A46E49" w:rsidRDefault="00A46E49" w:rsidP="0034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69665" w14:textId="77777777" w:rsidR="00A46E49" w:rsidRDefault="00A46E49" w:rsidP="00343164">
      <w:pPr>
        <w:spacing w:after="0" w:line="240" w:lineRule="auto"/>
      </w:pPr>
      <w:r>
        <w:separator/>
      </w:r>
    </w:p>
  </w:footnote>
  <w:footnote w:type="continuationSeparator" w:id="0">
    <w:p w14:paraId="484D29CE" w14:textId="77777777" w:rsidR="00A46E49" w:rsidRDefault="00A46E49" w:rsidP="0034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559"/>
    <w:multiLevelType w:val="hybridMultilevel"/>
    <w:tmpl w:val="5FFEFF1C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33992839"/>
    <w:multiLevelType w:val="hybridMultilevel"/>
    <w:tmpl w:val="9F96BBC8"/>
    <w:lvl w:ilvl="0" w:tplc="E9DE93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C26691"/>
    <w:multiLevelType w:val="hybridMultilevel"/>
    <w:tmpl w:val="5B1C97FC"/>
    <w:lvl w:ilvl="0" w:tplc="ED7E833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B71AB"/>
    <w:multiLevelType w:val="hybridMultilevel"/>
    <w:tmpl w:val="D6588F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E65631"/>
    <w:multiLevelType w:val="hybridMultilevel"/>
    <w:tmpl w:val="4B9E7EB2"/>
    <w:lvl w:ilvl="0" w:tplc="7D6CF9C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072506693">
    <w:abstractNumId w:val="1"/>
  </w:num>
  <w:num w:numId="2" w16cid:durableId="17690334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583606">
    <w:abstractNumId w:val="2"/>
  </w:num>
  <w:num w:numId="4" w16cid:durableId="882912903">
    <w:abstractNumId w:val="5"/>
  </w:num>
  <w:num w:numId="5" w16cid:durableId="1773552850">
    <w:abstractNumId w:val="0"/>
  </w:num>
  <w:num w:numId="6" w16cid:durableId="88240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4"/>
    <w:rsid w:val="00083396"/>
    <w:rsid w:val="000A4E37"/>
    <w:rsid w:val="00166E34"/>
    <w:rsid w:val="001730A2"/>
    <w:rsid w:val="001D3F85"/>
    <w:rsid w:val="00200C93"/>
    <w:rsid w:val="00220081"/>
    <w:rsid w:val="00271559"/>
    <w:rsid w:val="002717EA"/>
    <w:rsid w:val="0033123D"/>
    <w:rsid w:val="00343164"/>
    <w:rsid w:val="003A7CEB"/>
    <w:rsid w:val="004146D8"/>
    <w:rsid w:val="004475D9"/>
    <w:rsid w:val="004D606B"/>
    <w:rsid w:val="00553EA8"/>
    <w:rsid w:val="00640FC4"/>
    <w:rsid w:val="006810FD"/>
    <w:rsid w:val="0069667F"/>
    <w:rsid w:val="00813A2D"/>
    <w:rsid w:val="008B636D"/>
    <w:rsid w:val="008F25DC"/>
    <w:rsid w:val="0095513B"/>
    <w:rsid w:val="00960FD7"/>
    <w:rsid w:val="009818A8"/>
    <w:rsid w:val="00996251"/>
    <w:rsid w:val="009A0337"/>
    <w:rsid w:val="00A271A8"/>
    <w:rsid w:val="00A46E49"/>
    <w:rsid w:val="00B117E4"/>
    <w:rsid w:val="00B2183F"/>
    <w:rsid w:val="00BC4ED8"/>
    <w:rsid w:val="00C319D6"/>
    <w:rsid w:val="00CB5298"/>
    <w:rsid w:val="00CC0C3A"/>
    <w:rsid w:val="00D06FB4"/>
    <w:rsid w:val="00D225EC"/>
    <w:rsid w:val="00D403FC"/>
    <w:rsid w:val="00D43D47"/>
    <w:rsid w:val="00D71768"/>
    <w:rsid w:val="00DE3F48"/>
    <w:rsid w:val="00E375C1"/>
    <w:rsid w:val="00E84614"/>
    <w:rsid w:val="00F02E97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FAF7"/>
  <w15:chartTrackingRefBased/>
  <w15:docId w15:val="{826B8595-2AC7-4D9F-A73E-8223DDAA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64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0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0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0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0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0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0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0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0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0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0FC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43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3164"/>
    <w:rPr>
      <w:kern w:val="0"/>
      <w:lang w:val="ru-RU"/>
      <w14:ligatures w14:val="none"/>
    </w:rPr>
  </w:style>
  <w:style w:type="character" w:styleId="ae">
    <w:name w:val="Hyperlink"/>
    <w:basedOn w:val="a0"/>
    <w:uiPriority w:val="99"/>
    <w:unhideWhenUsed/>
    <w:rsid w:val="00343164"/>
    <w:rPr>
      <w:color w:val="467886" w:themeColor="hyperlink"/>
      <w:u w:val="single"/>
    </w:rPr>
  </w:style>
  <w:style w:type="paragraph" w:styleId="af">
    <w:name w:val="footer"/>
    <w:basedOn w:val="a"/>
    <w:link w:val="af0"/>
    <w:uiPriority w:val="99"/>
    <w:unhideWhenUsed/>
    <w:rsid w:val="003431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43164"/>
    <w:rPr>
      <w:kern w:val="0"/>
      <w:lang w:val="ru-RU"/>
      <w14:ligatures w14:val="none"/>
    </w:rPr>
  </w:style>
  <w:style w:type="character" w:styleId="af1">
    <w:name w:val="FollowedHyperlink"/>
    <w:basedOn w:val="a0"/>
    <w:uiPriority w:val="99"/>
    <w:semiHidden/>
    <w:unhideWhenUsed/>
    <w:rsid w:val="00996251"/>
    <w:rPr>
      <w:color w:val="96607D" w:themeColor="followedHyperlink"/>
      <w:u w:val="single"/>
    </w:rPr>
  </w:style>
  <w:style w:type="table" w:styleId="af2">
    <w:name w:val="Table Grid"/>
    <w:basedOn w:val="a1"/>
    <w:uiPriority w:val="39"/>
    <w:rsid w:val="009A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44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6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10</cp:revision>
  <dcterms:created xsi:type="dcterms:W3CDTF">2024-04-16T22:54:00Z</dcterms:created>
  <dcterms:modified xsi:type="dcterms:W3CDTF">2025-05-16T07:48:00Z</dcterms:modified>
</cp:coreProperties>
</file>