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C83C2" w14:textId="77777777" w:rsidR="0002684C" w:rsidRPr="0002684C" w:rsidRDefault="0002684C" w:rsidP="0002684C">
      <w:r w:rsidRPr="0002684C">
        <w:rPr>
          <w:b/>
          <w:bCs/>
        </w:rPr>
        <w:t>(Слайд 2: Введение)</w:t>
      </w:r>
      <w:r w:rsidRPr="0002684C">
        <w:br/>
        <w:t>Инженерное обеспечение представляет собой комплекс запланированных и последовательно выполняемых мероприятий, направленных на формирование необходимых инженерных условий для успешного выполнения боевых задач подразделениями. Его основной целью является повышение эффективности применения группировок войск посредством создания благоприятной оперативной обстановки для своих сил и дезорганизации действий противника. Таким образом, инженерное обеспечение выступает в роли системообразующего фактора современного общевойскового боя.</w:t>
      </w:r>
    </w:p>
    <w:p w14:paraId="43F76E69" w14:textId="77777777" w:rsidR="0002684C" w:rsidRPr="0002684C" w:rsidRDefault="0002684C" w:rsidP="0002684C">
      <w:r w:rsidRPr="0002684C">
        <w:rPr>
          <w:b/>
          <w:bCs/>
        </w:rPr>
        <w:t>(Слайд 3: Основные элементы)</w:t>
      </w:r>
      <w:r w:rsidRPr="0002684C">
        <w:br/>
        <w:t>Система инженерного обеспечения структурирована на ряд ключевых функциональных элементов. К ним относятся:</w:t>
      </w:r>
    </w:p>
    <w:p w14:paraId="0653902F" w14:textId="77777777" w:rsidR="0002684C" w:rsidRPr="0002684C" w:rsidRDefault="0002684C" w:rsidP="0002684C">
      <w:pPr>
        <w:numPr>
          <w:ilvl w:val="0"/>
          <w:numId w:val="10"/>
        </w:numPr>
      </w:pPr>
      <w:r w:rsidRPr="0002684C">
        <w:t>Повышение подвижности войск;</w:t>
      </w:r>
    </w:p>
    <w:p w14:paraId="4ECF0CFA" w14:textId="77777777" w:rsidR="0002684C" w:rsidRPr="0002684C" w:rsidRDefault="0002684C" w:rsidP="0002684C">
      <w:pPr>
        <w:numPr>
          <w:ilvl w:val="0"/>
          <w:numId w:val="10"/>
        </w:numPr>
      </w:pPr>
      <w:r w:rsidRPr="0002684C">
        <w:t>Снижение подвижности противника;</w:t>
      </w:r>
    </w:p>
    <w:p w14:paraId="7831AB9B" w14:textId="77777777" w:rsidR="0002684C" w:rsidRPr="0002684C" w:rsidRDefault="0002684C" w:rsidP="0002684C">
      <w:pPr>
        <w:numPr>
          <w:ilvl w:val="0"/>
          <w:numId w:val="10"/>
        </w:numPr>
      </w:pPr>
      <w:r w:rsidRPr="0002684C">
        <w:t>Повышение живучести и защита войск;</w:t>
      </w:r>
    </w:p>
    <w:p w14:paraId="249162E1" w14:textId="77777777" w:rsidR="0002684C" w:rsidRPr="0002684C" w:rsidRDefault="0002684C" w:rsidP="0002684C">
      <w:pPr>
        <w:numPr>
          <w:ilvl w:val="0"/>
          <w:numId w:val="10"/>
        </w:numPr>
      </w:pPr>
      <w:r w:rsidRPr="0002684C">
        <w:t>Обеспечение манёвра;</w:t>
      </w:r>
    </w:p>
    <w:p w14:paraId="788B1818" w14:textId="77777777" w:rsidR="0002684C" w:rsidRPr="0002684C" w:rsidRDefault="0002684C" w:rsidP="0002684C">
      <w:pPr>
        <w:numPr>
          <w:ilvl w:val="0"/>
          <w:numId w:val="10"/>
        </w:numPr>
      </w:pPr>
      <w:r w:rsidRPr="0002684C">
        <w:t>Маскировка.</w:t>
      </w:r>
      <w:r w:rsidRPr="0002684C">
        <w:br/>
        <w:t>Рассмотрим каждый элемент детально.</w:t>
      </w:r>
    </w:p>
    <w:p w14:paraId="0B284011" w14:textId="1880A505" w:rsidR="0002684C" w:rsidRPr="0002684C" w:rsidRDefault="0002684C" w:rsidP="0002684C">
      <w:r w:rsidRPr="0002684C">
        <w:rPr>
          <w:b/>
          <w:bCs/>
        </w:rPr>
        <w:t>(Слайд 4: Повышение подвижности войск)</w:t>
      </w:r>
      <w:r w:rsidRPr="0002684C">
        <w:br/>
        <w:t xml:space="preserve">Элемент «Повышение подвижности войск» заключается в обеспечении беспрепятственного и </w:t>
      </w:r>
      <w:proofErr w:type="spellStart"/>
      <w:r w:rsidRPr="0002684C">
        <w:t>высокотемпового</w:t>
      </w:r>
      <w:proofErr w:type="spellEnd"/>
      <w:r w:rsidRPr="0002684C">
        <w:t xml:space="preserve"> продвижения собственных сил в любых условиях местности и обстановки. Реализация данного элемента включает: проведение инженерной разведки маршрутов и районов, устройство и содержание путей движения, а также преодоление инженерных заграждений и естественных препятствий. Для решения этих задач в Вооружённых Силах Российской Федерации применяются специализированные средства, такие как понтонно-мостовые парки</w:t>
      </w:r>
      <w:r w:rsidRPr="0002684C">
        <w:rPr>
          <w:b/>
          <w:bCs/>
        </w:rPr>
        <w:t xml:space="preserve"> </w:t>
      </w:r>
      <w:r w:rsidRPr="0002684C">
        <w:rPr>
          <w:b/>
          <w:bCs/>
        </w:rPr>
        <w:t>ПП-91</w:t>
      </w:r>
      <w:r w:rsidRPr="0002684C">
        <w:t xml:space="preserve">, а также средства разграждения, </w:t>
      </w:r>
      <w:proofErr w:type="gramStart"/>
      <w:r w:rsidRPr="0002684C">
        <w:t>включая </w:t>
      </w:r>
      <w:r w:rsidRPr="0002684C">
        <w:rPr>
          <w:b/>
          <w:bCs/>
        </w:rPr>
        <w:t> самоходная</w:t>
      </w:r>
      <w:proofErr w:type="gramEnd"/>
      <w:r w:rsidRPr="0002684C">
        <w:rPr>
          <w:b/>
          <w:bCs/>
        </w:rPr>
        <w:t xml:space="preserve"> реактивная установка разминирования УР-77 «Метеорит»</w:t>
      </w:r>
      <w:r w:rsidRPr="0002684C">
        <w:t>, что позволяет минимизировать временные затраты на преодоление преград.</w:t>
      </w:r>
    </w:p>
    <w:p w14:paraId="222E7CA8" w14:textId="41AF9CD9" w:rsidR="0002684C" w:rsidRPr="0002684C" w:rsidRDefault="0002684C" w:rsidP="0002684C">
      <w:r w:rsidRPr="0002684C">
        <w:rPr>
          <w:b/>
          <w:bCs/>
        </w:rPr>
        <w:t>(Слайд 5: Снижение подвижности противника)</w:t>
      </w:r>
      <w:r w:rsidRPr="0002684C">
        <w:br/>
        <w:t>Противоположной по направленности, но взаимодополняющей задачей является «Снижение подвижности противника». Данный элемент нацелен на создание системы инженерных препятствий, затрудняющих или блокирующих передвижение сил противника, нанесение им потерь и канализацию их действий в заранее подготовленные зоны поражения. Основными способами реализации являются устройство минно-взрывных заграждений, в том числе с применением систем дистанционного минирования, таких как </w:t>
      </w:r>
      <w:r w:rsidRPr="0002684C">
        <w:rPr>
          <w:b/>
          <w:bCs/>
        </w:rPr>
        <w:t>«Земледелие</w:t>
      </w:r>
      <w:proofErr w:type="gramStart"/>
      <w:r w:rsidRPr="0002684C">
        <w:rPr>
          <w:b/>
          <w:bCs/>
        </w:rPr>
        <w:t xml:space="preserve">» </w:t>
      </w:r>
      <w:r w:rsidRPr="0002684C">
        <w:t>,</w:t>
      </w:r>
      <w:proofErr w:type="gramEnd"/>
      <w:r w:rsidRPr="0002684C">
        <w:t xml:space="preserve"> и возведение невзрывных заграждений (противотанковые рвы, эскарпы).</w:t>
      </w:r>
    </w:p>
    <w:p w14:paraId="6C710083" w14:textId="47E5E59C" w:rsidR="0002684C" w:rsidRPr="0002684C" w:rsidRDefault="0002684C" w:rsidP="0002684C">
      <w:pPr>
        <w:rPr>
          <w:b/>
          <w:bCs/>
        </w:rPr>
      </w:pPr>
      <w:r w:rsidRPr="0002684C">
        <w:rPr>
          <w:b/>
          <w:bCs/>
        </w:rPr>
        <w:lastRenderedPageBreak/>
        <w:t>(Слайд 6: Повышение живучести и защита войск)</w:t>
      </w:r>
      <w:r w:rsidRPr="0002684C">
        <w:br/>
        <w:t xml:space="preserve">Элемент «Повышение живучести и защита войск» ориентирован на сохранение боеспособности личного состава и материальной части. Достижение этой цели осуществляется путём оборудования фортификационных сооружений: окопов для стрелкового оружия и боевой техники, укрытий, командных и медицинских пунктов. Использование инженерной техники, </w:t>
      </w:r>
      <w:proofErr w:type="gramStart"/>
      <w:r w:rsidRPr="0002684C">
        <w:t>например,</w:t>
      </w:r>
      <w:proofErr w:type="gramEnd"/>
      <w:r w:rsidRPr="0002684C">
        <w:t> </w:t>
      </w:r>
      <w:r w:rsidRPr="0002684C">
        <w:rPr>
          <w:b/>
          <w:bCs/>
        </w:rPr>
        <w:t xml:space="preserve">машин </w:t>
      </w:r>
      <w:proofErr w:type="gramStart"/>
      <w:r w:rsidRPr="0002684C">
        <w:rPr>
          <w:b/>
          <w:bCs/>
        </w:rPr>
        <w:t>для отрывки</w:t>
      </w:r>
      <w:proofErr w:type="gramEnd"/>
      <w:r w:rsidRPr="0002684C">
        <w:rPr>
          <w:b/>
          <w:bCs/>
        </w:rPr>
        <w:t xml:space="preserve"> котлованов (МДК-3)</w:t>
      </w:r>
      <w:r w:rsidRPr="0002684C">
        <w:t>, позволяет в сжатые сроки создавать комплексные системы инженерной защиты на позициях.</w:t>
      </w:r>
    </w:p>
    <w:p w14:paraId="462D865E" w14:textId="77777777" w:rsidR="0002684C" w:rsidRPr="0002684C" w:rsidRDefault="0002684C" w:rsidP="0002684C">
      <w:r w:rsidRPr="0002684C">
        <w:rPr>
          <w:b/>
          <w:bCs/>
        </w:rPr>
        <w:t>(Слайд 7: Обеспечение манёвра)</w:t>
      </w:r>
      <w:r w:rsidRPr="0002684C">
        <w:br/>
        <w:t>«Обеспечение манёвра» является интегральным элементом, синтезирующим функции других составляющих. Он заключается в создании инженерных условий для оперативного перегруппировки войск, занятия выгодных рубежей и внезапного применения сил и средств. Это включает скрытную подготовку путей выдвижения, быстрое оборудование временных огневых позиций для артиллерии и ПТРК, а также организацию инженерного прикрытия флангов и стыков.</w:t>
      </w:r>
    </w:p>
    <w:p w14:paraId="5B88A9D3" w14:textId="5CA35459" w:rsidR="0002684C" w:rsidRPr="0002684C" w:rsidRDefault="0002684C" w:rsidP="0002684C">
      <w:r w:rsidRPr="0002684C">
        <w:rPr>
          <w:b/>
          <w:bCs/>
        </w:rPr>
        <w:t>(Слайд 8: Маскировка)</w:t>
      </w:r>
      <w:r w:rsidRPr="0002684C">
        <w:br/>
        <w:t>Элемент «Маскировка» решает задачу введения противника в заблуждение относительно истинного расположения, состава и намерений своих войск. В современных условиях, характеризующихся широким применением средств разведки, включая беспилотные летательные аппараты, маскировка приобретает критическое значение. Она реализуется через использование табельных маскировочных комплексов (например, </w:t>
      </w:r>
      <w:r w:rsidRPr="0002684C">
        <w:rPr>
          <w:b/>
          <w:bCs/>
        </w:rPr>
        <w:t>«</w:t>
      </w:r>
      <w:r>
        <w:rPr>
          <w:b/>
          <w:bCs/>
        </w:rPr>
        <w:t>МКТ</w:t>
      </w:r>
      <w:r w:rsidRPr="0002684C">
        <w:rPr>
          <w:b/>
          <w:bCs/>
        </w:rPr>
        <w:t>»</w:t>
      </w:r>
      <w:r w:rsidRPr="0002684C">
        <w:t>), сооружение ложных позиций с применением макетов техники и имитационных средств, а также строгое соблюдение режима деятельности.</w:t>
      </w:r>
    </w:p>
    <w:p w14:paraId="24E7F027" w14:textId="77777777" w:rsidR="0002684C" w:rsidRPr="0002684C" w:rsidRDefault="0002684C" w:rsidP="0002684C">
      <w:r w:rsidRPr="0002684C">
        <w:rPr>
          <w:b/>
          <w:bCs/>
        </w:rPr>
        <w:t>(Слайд 9: Взаимосвязь элементов)</w:t>
      </w:r>
      <w:r w:rsidRPr="0002684C">
        <w:br/>
        <w:t>Ключевым аспектом является синергетическая взаимосвязь всех элементов инженерного обеспечения. Они функционируют не изолированно, а как единая система. К примеру, при подготовке обороны, мероприятия по </w:t>
      </w:r>
      <w:r w:rsidRPr="0002684C">
        <w:rPr>
          <w:b/>
          <w:bCs/>
        </w:rPr>
        <w:t>снижению подвижности противника</w:t>
      </w:r>
      <w:r w:rsidRPr="0002684C">
        <w:t> (устройство заграждений) напрямую связаны с </w:t>
      </w:r>
      <w:r w:rsidRPr="0002684C">
        <w:rPr>
          <w:b/>
          <w:bCs/>
        </w:rPr>
        <w:t>повышением живучести войск</w:t>
      </w:r>
      <w:r w:rsidRPr="0002684C">
        <w:t> (оборудование укрытий) и </w:t>
      </w:r>
      <w:r w:rsidRPr="0002684C">
        <w:rPr>
          <w:b/>
          <w:bCs/>
        </w:rPr>
        <w:t>маскировкой</w:t>
      </w:r>
      <w:r w:rsidRPr="0002684C">
        <w:t> истинных позиций. Последующее </w:t>
      </w:r>
      <w:r w:rsidRPr="0002684C">
        <w:rPr>
          <w:b/>
          <w:bCs/>
        </w:rPr>
        <w:t>обеспечение манёвра</w:t>
      </w:r>
      <w:r w:rsidRPr="0002684C">
        <w:t> резервами для нанесения контрудара, в свою очередь, требует </w:t>
      </w:r>
      <w:r w:rsidRPr="0002684C">
        <w:rPr>
          <w:b/>
          <w:bCs/>
        </w:rPr>
        <w:t>повышения их подвижности</w:t>
      </w:r>
      <w:r w:rsidRPr="0002684C">
        <w:t> на подготовленных направлениях. Таким образом, эффективность инженерного обеспечения определяется именно согласованностью и непрерывностью применения всех его составляющих.</w:t>
      </w:r>
    </w:p>
    <w:p w14:paraId="70F4BC3E" w14:textId="77777777" w:rsidR="0002684C" w:rsidRPr="0002684C" w:rsidRDefault="0002684C" w:rsidP="0002684C">
      <w:r w:rsidRPr="0002684C">
        <w:rPr>
          <w:b/>
          <w:bCs/>
        </w:rPr>
        <w:t>(Слайд 10: Заключение)</w:t>
      </w:r>
      <w:r w:rsidRPr="0002684C">
        <w:br/>
        <w:t xml:space="preserve">В заключении следует констатировать, что инженерное обеспечение является не вспомогательным, а одним из определяющих видов обеспечения боевых действий. Его системный характер и комплексная реализация позволяют существенно повысить боевые возможности общевойсковых подразделений, минимизировать </w:t>
      </w:r>
      <w:r w:rsidRPr="0002684C">
        <w:lastRenderedPageBreak/>
        <w:t>собственные потери и оказать решающее влияние на достижение тактических и оперативных успехов.</w:t>
      </w:r>
    </w:p>
    <w:p w14:paraId="3A65BEF0" w14:textId="77777777" w:rsidR="0075357D" w:rsidRPr="0002684C" w:rsidRDefault="0075357D" w:rsidP="0002684C"/>
    <w:sectPr w:rsidR="0075357D" w:rsidRPr="0002684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52021"/>
    <w:multiLevelType w:val="multilevel"/>
    <w:tmpl w:val="92C8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F4D15"/>
    <w:multiLevelType w:val="multilevel"/>
    <w:tmpl w:val="D75A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77774"/>
    <w:multiLevelType w:val="multilevel"/>
    <w:tmpl w:val="C5B8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C4744"/>
    <w:multiLevelType w:val="multilevel"/>
    <w:tmpl w:val="74706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D439EC"/>
    <w:multiLevelType w:val="multilevel"/>
    <w:tmpl w:val="C31E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14F12"/>
    <w:multiLevelType w:val="multilevel"/>
    <w:tmpl w:val="7B34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6F0A61"/>
    <w:multiLevelType w:val="multilevel"/>
    <w:tmpl w:val="ADE8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A0B97"/>
    <w:multiLevelType w:val="multilevel"/>
    <w:tmpl w:val="B274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EB1A7A"/>
    <w:multiLevelType w:val="multilevel"/>
    <w:tmpl w:val="CDE6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4D4F71"/>
    <w:multiLevelType w:val="multilevel"/>
    <w:tmpl w:val="D73A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533927">
    <w:abstractNumId w:val="6"/>
  </w:num>
  <w:num w:numId="2" w16cid:durableId="50470174">
    <w:abstractNumId w:val="0"/>
  </w:num>
  <w:num w:numId="3" w16cid:durableId="260115570">
    <w:abstractNumId w:val="3"/>
  </w:num>
  <w:num w:numId="4" w16cid:durableId="81489951">
    <w:abstractNumId w:val="9"/>
  </w:num>
  <w:num w:numId="5" w16cid:durableId="2111505981">
    <w:abstractNumId w:val="2"/>
  </w:num>
  <w:num w:numId="6" w16cid:durableId="1581334786">
    <w:abstractNumId w:val="8"/>
  </w:num>
  <w:num w:numId="7" w16cid:durableId="69277056">
    <w:abstractNumId w:val="7"/>
  </w:num>
  <w:num w:numId="8" w16cid:durableId="493839488">
    <w:abstractNumId w:val="4"/>
  </w:num>
  <w:num w:numId="9" w16cid:durableId="322975767">
    <w:abstractNumId w:val="1"/>
  </w:num>
  <w:num w:numId="10" w16cid:durableId="2243402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258"/>
    <w:rsid w:val="0002684C"/>
    <w:rsid w:val="00135B8B"/>
    <w:rsid w:val="00144CCD"/>
    <w:rsid w:val="00192258"/>
    <w:rsid w:val="002F2DE0"/>
    <w:rsid w:val="00422668"/>
    <w:rsid w:val="005303E0"/>
    <w:rsid w:val="00625D85"/>
    <w:rsid w:val="0075357D"/>
    <w:rsid w:val="00860CDE"/>
    <w:rsid w:val="009C56F6"/>
    <w:rsid w:val="00C04ED6"/>
    <w:rsid w:val="00E2704B"/>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94774"/>
  <w15:chartTrackingRefBased/>
  <w15:docId w15:val="{38D4F657-8E3C-4D8F-90FF-813D15331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704B"/>
  </w:style>
  <w:style w:type="paragraph" w:styleId="1">
    <w:name w:val="heading 1"/>
    <w:basedOn w:val="a"/>
    <w:next w:val="a"/>
    <w:link w:val="10"/>
    <w:uiPriority w:val="9"/>
    <w:qFormat/>
    <w:rsid w:val="00192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92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9225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9225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9225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9225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9225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9225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9225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9225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9225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9225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9225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9225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9225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92258"/>
    <w:rPr>
      <w:rFonts w:eastAsiaTheme="majorEastAsia" w:cstheme="majorBidi"/>
      <w:color w:val="595959" w:themeColor="text1" w:themeTint="A6"/>
    </w:rPr>
  </w:style>
  <w:style w:type="character" w:customStyle="1" w:styleId="80">
    <w:name w:val="Заголовок 8 Знак"/>
    <w:basedOn w:val="a0"/>
    <w:link w:val="8"/>
    <w:uiPriority w:val="9"/>
    <w:semiHidden/>
    <w:rsid w:val="0019225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92258"/>
    <w:rPr>
      <w:rFonts w:eastAsiaTheme="majorEastAsia" w:cstheme="majorBidi"/>
      <w:color w:val="272727" w:themeColor="text1" w:themeTint="D8"/>
    </w:rPr>
  </w:style>
  <w:style w:type="paragraph" w:styleId="a3">
    <w:name w:val="Title"/>
    <w:basedOn w:val="a"/>
    <w:next w:val="a"/>
    <w:link w:val="a4"/>
    <w:uiPriority w:val="10"/>
    <w:qFormat/>
    <w:rsid w:val="00192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922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225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9225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92258"/>
    <w:pPr>
      <w:spacing w:before="160"/>
      <w:jc w:val="center"/>
    </w:pPr>
    <w:rPr>
      <w:i/>
      <w:iCs/>
      <w:color w:val="404040" w:themeColor="text1" w:themeTint="BF"/>
    </w:rPr>
  </w:style>
  <w:style w:type="character" w:customStyle="1" w:styleId="22">
    <w:name w:val="Цитата 2 Знак"/>
    <w:basedOn w:val="a0"/>
    <w:link w:val="21"/>
    <w:uiPriority w:val="29"/>
    <w:rsid w:val="00192258"/>
    <w:rPr>
      <w:i/>
      <w:iCs/>
      <w:color w:val="404040" w:themeColor="text1" w:themeTint="BF"/>
    </w:rPr>
  </w:style>
  <w:style w:type="paragraph" w:styleId="a7">
    <w:name w:val="List Paragraph"/>
    <w:basedOn w:val="a"/>
    <w:uiPriority w:val="34"/>
    <w:qFormat/>
    <w:rsid w:val="00192258"/>
    <w:pPr>
      <w:ind w:left="720"/>
      <w:contextualSpacing/>
    </w:pPr>
  </w:style>
  <w:style w:type="character" w:styleId="a8">
    <w:name w:val="Intense Emphasis"/>
    <w:basedOn w:val="a0"/>
    <w:uiPriority w:val="21"/>
    <w:qFormat/>
    <w:rsid w:val="00192258"/>
    <w:rPr>
      <w:i/>
      <w:iCs/>
      <w:color w:val="0F4761" w:themeColor="accent1" w:themeShade="BF"/>
    </w:rPr>
  </w:style>
  <w:style w:type="paragraph" w:styleId="a9">
    <w:name w:val="Intense Quote"/>
    <w:basedOn w:val="a"/>
    <w:next w:val="a"/>
    <w:link w:val="aa"/>
    <w:uiPriority w:val="30"/>
    <w:qFormat/>
    <w:rsid w:val="00192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92258"/>
    <w:rPr>
      <w:i/>
      <w:iCs/>
      <w:color w:val="0F4761" w:themeColor="accent1" w:themeShade="BF"/>
    </w:rPr>
  </w:style>
  <w:style w:type="character" w:styleId="ab">
    <w:name w:val="Intense Reference"/>
    <w:basedOn w:val="a0"/>
    <w:uiPriority w:val="32"/>
    <w:qFormat/>
    <w:rsid w:val="001922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715</Words>
  <Characters>4081</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Aknas Macefg</dc:creator>
  <cp:keywords/>
  <dc:description/>
  <cp:lastModifiedBy>Aknas Macefg</cp:lastModifiedBy>
  <cp:revision>4</cp:revision>
  <dcterms:created xsi:type="dcterms:W3CDTF">2025-11-13T11:19:00Z</dcterms:created>
  <dcterms:modified xsi:type="dcterms:W3CDTF">2025-11-26T20:05:00Z</dcterms:modified>
</cp:coreProperties>
</file>