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rFonts w:cs="Times New Roman"/>
          <w:sz w:val="32"/>
          <w:szCs w:val="28"/>
        </w:rPr>
      </w:pPr>
      <w:r>
        <w:rPr>
          <w:rFonts w:cs="Times New Roman"/>
          <w:sz w:val="32"/>
          <w:szCs w:val="28"/>
        </w:rPr>
        <w:t>Pannon Egyetem</w:t>
      </w:r>
    </w:p>
    <w:p>
      <w:pPr>
        <w:pStyle w:val="Normal"/>
        <w:ind w:hanging="0"/>
        <w:jc w:val="center"/>
        <w:rPr>
          <w:rFonts w:cs="Times New Roman"/>
          <w:sz w:val="32"/>
          <w:szCs w:val="28"/>
        </w:rPr>
      </w:pPr>
      <w:r>
        <w:rPr>
          <w:rFonts w:cs="Times New Roman"/>
          <w:sz w:val="32"/>
          <w:szCs w:val="28"/>
        </w:rPr>
        <w:t>Műszaki Informatikai Kar</w:t>
      </w:r>
    </w:p>
    <w:p>
      <w:pPr>
        <w:pStyle w:val="Normal"/>
        <w:spacing w:before="0" w:after="1600"/>
        <w:ind w:hanging="0"/>
        <w:jc w:val="center"/>
        <w:rPr>
          <w:color w:val="000000"/>
        </w:rPr>
      </w:pPr>
      <w:r>
        <w:rPr>
          <w:rFonts w:cs="Times New Roman"/>
          <w:color w:val="000000"/>
          <w:sz w:val="32"/>
          <w:szCs w:val="28"/>
        </w:rPr>
        <w:t>Programtervező informatika Bsc</w:t>
      </w:r>
    </w:p>
    <w:p>
      <w:pPr>
        <w:pStyle w:val="Normal"/>
        <w:spacing w:before="0" w:after="1000"/>
        <w:ind w:hanging="0"/>
        <w:jc w:val="center"/>
        <w:rPr>
          <w:color w:val="auto"/>
        </w:rPr>
      </w:pPr>
      <w:r>
        <w:rPr>
          <w:rFonts w:cs="Times New Roman"/>
          <w:b/>
          <w:color w:val="auto"/>
          <w:sz w:val="52"/>
          <w:szCs w:val="48"/>
        </w:rPr>
        <w:t>Projekt Labor</w:t>
      </w:r>
    </w:p>
    <w:p>
      <w:pPr>
        <w:pStyle w:val="Normal"/>
        <w:spacing w:before="0" w:after="1000"/>
        <w:ind w:hanging="0"/>
        <w:jc w:val="center"/>
        <w:rPr>
          <w:color w:val="auto"/>
        </w:rPr>
      </w:pPr>
      <w:r>
        <w:rPr>
          <w:rFonts w:cs="Times New Roman"/>
          <w:b/>
          <w:color w:val="auto"/>
          <w:sz w:val="36"/>
          <w:szCs w:val="32"/>
        </w:rPr>
        <w:t>Leltározó és leltárkezelő alkalmazás fejlesztése</w:t>
      </w:r>
    </w:p>
    <w:p>
      <w:pPr>
        <w:pStyle w:val="Normal"/>
        <w:spacing w:before="0" w:after="2800"/>
        <w:ind w:hanging="0"/>
        <w:jc w:val="center"/>
        <w:rPr>
          <w:color w:val="auto"/>
        </w:rPr>
      </w:pPr>
      <w:r>
        <w:rPr>
          <w:rFonts w:cs="Times New Roman"/>
          <w:b/>
          <w:color w:val="auto"/>
          <w:sz w:val="36"/>
          <w:szCs w:val="32"/>
        </w:rPr>
        <w:t>Németh Márton, Horváth Kristóf, Kelemen Ákos</w:t>
      </w:r>
    </w:p>
    <w:p>
      <w:pPr>
        <w:pStyle w:val="Normal"/>
        <w:ind w:hanging="0"/>
        <w:jc w:val="center"/>
        <w:rPr>
          <w:rFonts w:cs="Times New Roman"/>
          <w:color w:val="FF0000"/>
          <w:sz w:val="32"/>
          <w:szCs w:val="28"/>
        </w:rPr>
      </w:pPr>
      <w:r>
        <w:rPr>
          <w:rFonts w:cs="Times New Roman"/>
          <w:color w:val="FF0000"/>
          <w:sz w:val="32"/>
          <w:szCs w:val="28"/>
        </w:rPr>
      </w:r>
    </w:p>
    <w:p>
      <w:pPr>
        <w:pStyle w:val="Normal"/>
        <w:spacing w:before="0" w:after="240"/>
        <w:ind w:hanging="0"/>
        <w:jc w:val="center"/>
        <w:rPr>
          <w:color w:val="auto"/>
        </w:rPr>
      </w:pPr>
      <w:r>
        <w:rPr>
          <w:rFonts w:cs="Times New Roman"/>
          <w:color w:val="auto"/>
          <w:sz w:val="32"/>
          <w:szCs w:val="28"/>
        </w:rPr>
        <w:t>2026</w:t>
      </w:r>
    </w:p>
    <w:p>
      <w:pPr>
        <w:pStyle w:val="Title1"/>
        <w:rPr>
          <w:lang w:val="hu-HU"/>
        </w:rPr>
      </w:pPr>
      <w:bookmarkStart w:id="0" w:name="_Toc68948684"/>
      <w:r>
        <w:rPr>
          <w:lang w:val="hu-HU"/>
        </w:rPr>
        <w:t>Tartalmi összefoglaló</w:t>
      </w:r>
      <w:bookmarkEnd w:id="0"/>
    </w:p>
    <w:p>
      <w:pPr>
        <w:pStyle w:val="Firstparagraph"/>
        <w:rPr/>
      </w:pPr>
      <w:r>
        <w:rPr/>
        <w:t>Tartalmi összefoglaló magyarul. Az összefoglalónak tartalmaznia kell (rövid, velős és összefüggő megfogalmazásban) a következőket:</w:t>
      </w:r>
    </w:p>
    <w:p>
      <w:pPr>
        <w:pStyle w:val="Normal"/>
        <w:numPr>
          <w:ilvl w:val="0"/>
          <w:numId w:val="2"/>
        </w:numPr>
        <w:spacing w:lineRule="auto" w:line="264" w:before="0" w:after="3"/>
        <w:ind w:hanging="360" w:start="1035"/>
        <w:jc w:val="start"/>
        <w:rPr/>
      </w:pPr>
      <w:r>
        <w:rPr/>
        <w:t xml:space="preserve">téma megnevezése, </w:t>
      </w:r>
    </w:p>
    <w:p>
      <w:pPr>
        <w:pStyle w:val="Normal"/>
        <w:numPr>
          <w:ilvl w:val="0"/>
          <w:numId w:val="2"/>
        </w:numPr>
        <w:spacing w:lineRule="auto" w:line="264" w:before="0" w:after="3"/>
        <w:ind w:hanging="360" w:start="1035"/>
        <w:jc w:val="start"/>
        <w:rPr/>
      </w:pPr>
      <w:r>
        <w:rPr/>
        <w:t xml:space="preserve">megoldott feladat megfogalmazása, </w:t>
      </w:r>
    </w:p>
    <w:p>
      <w:pPr>
        <w:pStyle w:val="Normal"/>
        <w:numPr>
          <w:ilvl w:val="0"/>
          <w:numId w:val="2"/>
        </w:numPr>
        <w:spacing w:lineRule="auto" w:line="264" w:before="0" w:after="3"/>
        <w:ind w:hanging="360" w:start="1035"/>
        <w:jc w:val="start"/>
        <w:rPr/>
      </w:pPr>
      <w:r>
        <w:rPr/>
        <w:t xml:space="preserve">megoldási mód, </w:t>
      </w:r>
    </w:p>
    <w:p>
      <w:pPr>
        <w:pStyle w:val="Normal"/>
        <w:numPr>
          <w:ilvl w:val="0"/>
          <w:numId w:val="2"/>
        </w:numPr>
        <w:spacing w:lineRule="auto" w:line="264" w:before="0" w:after="3"/>
        <w:ind w:hanging="360" w:start="1035"/>
        <w:jc w:val="start"/>
        <w:rPr/>
      </w:pPr>
      <w:r>
        <w:rPr/>
        <w:t xml:space="preserve">elért eredmények, </w:t>
      </w:r>
    </w:p>
    <w:p>
      <w:pPr>
        <w:pStyle w:val="Normal"/>
        <w:numPr>
          <w:ilvl w:val="0"/>
          <w:numId w:val="2"/>
        </w:numPr>
        <w:spacing w:lineRule="auto" w:line="264" w:before="0" w:after="3"/>
        <w:ind w:hanging="360" w:start="1035"/>
        <w:jc w:val="start"/>
        <w:rPr/>
      </w:pPr>
      <w:r>
        <w:rPr/>
        <w:t xml:space="preserve">kulcsszavak (4-6 darab) </w:t>
      </w:r>
    </w:p>
    <w:p>
      <w:pPr>
        <w:pStyle w:val="Normal"/>
        <w:numPr>
          <w:ilvl w:val="0"/>
          <w:numId w:val="2"/>
        </w:numPr>
        <w:spacing w:lineRule="auto" w:line="264" w:before="0" w:after="3"/>
        <w:ind w:hanging="360" w:start="1035"/>
        <w:jc w:val="start"/>
        <w:rPr/>
      </w:pPr>
      <w:r>
        <w:rPr/>
        <w:t xml:space="preserve">terjedelme nem lehet több 1 A4-es oldalnál. </w:t>
      </w:r>
    </w:p>
    <w:p>
      <w:pPr>
        <w:pStyle w:val="Normal"/>
        <w:rPr/>
      </w:pPr>
      <w:r>
        <w:rPr/>
        <w:t xml:space="preserve">Az összefoglalót magyar és angol nyelven kell készíteni. Sorrendben a dolgozat nyelvével megegyező kerül előrébb. A cím Title stílusú, formázása: Times New Roman, nagybetű, 14 pt, félkövér, középre igazított; az összefoglaló Normál stílusú, formázása: Times New Roman, 12 pt, sorkizárt, 1.5-ös sortávolság. </w:t>
      </w:r>
    </w:p>
    <w:p>
      <w:pPr>
        <w:pStyle w:val="Normal"/>
        <w:spacing w:before="600" w:after="0"/>
        <w:rPr>
          <w:rFonts w:cs="Times New Roman"/>
          <w:szCs w:val="24"/>
        </w:rPr>
      </w:pPr>
      <w:r>
        <w:rPr>
          <w:rFonts w:cs="Times New Roman"/>
          <w:b/>
          <w:szCs w:val="24"/>
        </w:rPr>
        <w:t>Kulcsszavak:</w:t>
      </w:r>
      <w:r>
        <w:rPr>
          <w:rFonts w:cs="Times New Roman"/>
          <w:szCs w:val="24"/>
        </w:rPr>
        <w:t xml:space="preserve"> [4-6 kulcsszó felsorolása, vesszővel elválasztva]</w:t>
      </w:r>
    </w:p>
    <w:p>
      <w:pPr>
        <w:pStyle w:val="Title1"/>
        <w:rPr/>
      </w:pPr>
      <w:r>
        <w:rPr/>
        <w:t>Abstract</w:t>
      </w:r>
    </w:p>
    <w:p>
      <w:pPr>
        <w:pStyle w:val="Firstparagraph"/>
        <w:rPr>
          <w:lang w:val="en-GB"/>
        </w:rPr>
      </w:pPr>
      <w:r>
        <w:rPr>
          <w:lang w:val="en-GB"/>
        </w:rPr>
        <w:t>Abstract in English</w:t>
      </w:r>
    </w:p>
    <w:p>
      <w:pPr>
        <w:pStyle w:val="Normal"/>
        <w:spacing w:before="600" w:after="0"/>
        <w:rPr>
          <w:rFonts w:cs="Times New Roman"/>
          <w:szCs w:val="24"/>
          <w:lang w:val="en-GB"/>
        </w:rPr>
      </w:pPr>
      <w:r>
        <w:rPr>
          <w:rFonts w:cs="Times New Roman"/>
          <w:b/>
          <w:szCs w:val="24"/>
          <w:lang w:val="en-GB"/>
        </w:rPr>
        <w:t>Keywords:</w:t>
      </w:r>
      <w:r>
        <w:rPr>
          <w:rFonts w:cs="Times New Roman"/>
          <w:szCs w:val="24"/>
          <w:lang w:val="en-GB"/>
        </w:rPr>
        <w:t xml:space="preserve"> [list 4-6 keywords]</w:t>
      </w:r>
    </w:p>
    <w:p>
      <w:pPr>
        <w:pStyle w:val="Normal"/>
        <w:spacing w:lineRule="auto" w:line="259" w:before="0" w:after="160"/>
        <w:ind w:hanging="0"/>
        <w:jc w:val="start"/>
        <w:rPr>
          <w:rFonts w:cs="Times New Roman"/>
          <w:szCs w:val="24"/>
          <w:lang w:val="en-GB"/>
        </w:rPr>
      </w:pPr>
      <w:r>
        <w:rPr>
          <w:rFonts w:cs="Times New Roman"/>
          <w:szCs w:val="24"/>
          <w:lang w:val="en-GB"/>
        </w:rPr>
      </w:r>
    </w:p>
    <w:sdt>
      <w:sdtPr>
        <w:docPartObj>
          <w:docPartGallery w:val="Table of Contents"/>
          <w:docPartUnique w:val="true"/>
        </w:docPartObj>
      </w:sdtPr>
      <w:sdtContent>
        <w:p>
          <w:pPr>
            <w:pStyle w:val="TOCHeading"/>
            <w:rPr/>
          </w:pPr>
          <w:r>
            <w:br w:type="page"/>
          </w:r>
          <w:r>
            <w:rPr/>
            <w:t>Tartalomjegyzék</w:t>
          </w:r>
        </w:p>
        <w:p>
          <w:pPr>
            <w:pStyle w:val="TOC1"/>
            <w:tabs>
              <w:tab w:val="clear" w:pos="8503"/>
              <w:tab w:val="right" w:pos="8502" w:leader="dot"/>
            </w:tabs>
            <w:rPr/>
          </w:pPr>
          <w:r>
            <w:fldChar w:fldCharType="begin"/>
          </w:r>
          <w:r>
            <w:rPr>
              <w:rStyle w:val="Jegyzkhivatkozs"/>
            </w:rPr>
            <w:instrText xml:space="preserve"> TOC \o "1-3" \h</w:instrText>
          </w:r>
          <w:r>
            <w:rPr>
              <w:rStyle w:val="Jegyzkhivatkozs"/>
            </w:rPr>
            <w:fldChar w:fldCharType="separate"/>
          </w:r>
          <w:hyperlink w:anchor="__RefHeading___Toc1062_114363969" w:tooltip="Jelölésjegyzék">
            <w:r>
              <w:rPr>
                <w:rStyle w:val="Jegyzkhivatkozs"/>
              </w:rPr>
              <w:tab/>
              <w:t>Jelölésjegyzék</w:t>
              <w:tab/>
              <w:t>5</w:t>
            </w:r>
          </w:hyperlink>
        </w:p>
        <w:p>
          <w:pPr>
            <w:pStyle w:val="TOC1"/>
            <w:tabs>
              <w:tab w:val="clear" w:pos="8503"/>
              <w:tab w:val="right" w:pos="8502" w:leader="dot"/>
            </w:tabs>
            <w:rPr/>
          </w:pPr>
          <w:hyperlink w:anchor="__RefHeading___Toc1064_114363969" w:tooltip="Bevezetés">
            <w:r>
              <w:rPr>
                <w:rStyle w:val="Jegyzkhivatkozs"/>
              </w:rPr>
              <w:t>1.</w:t>
              <w:tab/>
              <w:t>Bevezetés</w:t>
              <w:tab/>
              <w:t>6</w:t>
            </w:r>
          </w:hyperlink>
        </w:p>
        <w:p>
          <w:pPr>
            <w:pStyle w:val="TOC2"/>
            <w:tabs>
              <w:tab w:val="clear" w:pos="9016"/>
              <w:tab w:val="right" w:pos="8502" w:leader="dot"/>
            </w:tabs>
            <w:rPr/>
          </w:pPr>
          <w:hyperlink w:anchor="__RefHeading___Toc1066_114363969" w:tooltip="A probléma és a megoldandó feladat háttere">
            <w:r>
              <w:rPr>
                <w:rStyle w:val="Jegyzkhivatkozs"/>
              </w:rPr>
              <w:t>1.1.</w:t>
              <w:tab/>
              <w:t>A probléma és a megoldandó feladat háttere</w:t>
              <w:tab/>
              <w:t>6</w:t>
            </w:r>
          </w:hyperlink>
        </w:p>
        <w:p>
          <w:pPr>
            <w:pStyle w:val="TOC2"/>
            <w:tabs>
              <w:tab w:val="clear" w:pos="9016"/>
              <w:tab w:val="right" w:pos="8502" w:leader="dot"/>
            </w:tabs>
            <w:rPr/>
          </w:pPr>
          <w:hyperlink w:anchor="__RefHeading___Toc1068_114363969" w:tooltip="Követelmények és felhasználási lehetőségek">
            <w:r>
              <w:rPr>
                <w:rStyle w:val="Jegyzkhivatkozs"/>
              </w:rPr>
              <w:t>1.2.</w:t>
              <w:tab/>
              <w:t>Követelmények és felhasználási lehetőségek</w:t>
              <w:tab/>
              <w:t>7</w:t>
            </w:r>
          </w:hyperlink>
        </w:p>
        <w:p>
          <w:pPr>
            <w:pStyle w:val="TOC2"/>
            <w:tabs>
              <w:tab w:val="clear" w:pos="9016"/>
              <w:tab w:val="right" w:pos="8502" w:leader="dot"/>
            </w:tabs>
            <w:rPr/>
          </w:pPr>
          <w:hyperlink w:anchor="__RefHeading___Toc1070_114363969" w:tooltip="Alkalmazott feltételezések">
            <w:r>
              <w:rPr>
                <w:rStyle w:val="Jegyzkhivatkozs"/>
              </w:rPr>
              <w:t>1.3.</w:t>
              <w:tab/>
              <w:t>Alkalmazott feltételezések</w:t>
              <w:tab/>
              <w:t>8</w:t>
            </w:r>
          </w:hyperlink>
        </w:p>
        <w:p>
          <w:pPr>
            <w:pStyle w:val="TOC2"/>
            <w:tabs>
              <w:tab w:val="clear" w:pos="9016"/>
              <w:tab w:val="right" w:pos="8502" w:leader="dot"/>
            </w:tabs>
            <w:rPr/>
          </w:pPr>
          <w:hyperlink w:anchor="__RefHeading___Toc1072_114363969" w:tooltip="Rendszerarchitektúra és komponensek">
            <w:r>
              <w:rPr>
                <w:rStyle w:val="Jegyzkhivatkozs"/>
              </w:rPr>
              <w:t>1.4.</w:t>
              <w:tab/>
              <w:t>Rendszerarchitektúra és komponensek</w:t>
              <w:tab/>
              <w:t>8</w:t>
            </w:r>
          </w:hyperlink>
        </w:p>
        <w:p>
          <w:pPr>
            <w:pStyle w:val="TOC2"/>
            <w:tabs>
              <w:tab w:val="clear" w:pos="9016"/>
              <w:tab w:val="right" w:pos="8502" w:leader="dot"/>
            </w:tabs>
            <w:rPr/>
          </w:pPr>
          <w:hyperlink w:anchor="__RefHeading___Toc1074_114363969" w:tooltip="Adatmodell és adatkezelés">
            <w:r>
              <w:rPr>
                <w:rStyle w:val="Jegyzkhivatkozs"/>
              </w:rPr>
              <w:t>1.5.</w:t>
              <w:tab/>
              <w:t>Adatmodell és adatkezelés</w:t>
              <w:tab/>
              <w:t>9</w:t>
            </w:r>
          </w:hyperlink>
        </w:p>
        <w:p>
          <w:pPr>
            <w:pStyle w:val="TOC2"/>
            <w:tabs>
              <w:tab w:val="clear" w:pos="9016"/>
              <w:tab w:val="right" w:pos="8502" w:leader="dot"/>
            </w:tabs>
            <w:rPr/>
          </w:pPr>
          <w:hyperlink w:anchor="__RefHeading___Toc1076_114363969" w:tooltip="A kliens és a szerver működése">
            <w:r>
              <w:rPr>
                <w:rStyle w:val="Jegyzkhivatkozs"/>
              </w:rPr>
              <w:t>1.6.</w:t>
              <w:tab/>
              <w:t>A kliens és a szerver működése</w:t>
              <w:tab/>
              <w:t>9</w:t>
            </w:r>
          </w:hyperlink>
        </w:p>
        <w:p>
          <w:pPr>
            <w:pStyle w:val="TOC2"/>
            <w:tabs>
              <w:tab w:val="clear" w:pos="9016"/>
              <w:tab w:val="right" w:pos="8502" w:leader="dot"/>
            </w:tabs>
            <w:rPr/>
          </w:pPr>
          <w:hyperlink w:anchor="__RefHeading___Toc1078_114363969" w:tooltip="A kommunikáció megvalósítása">
            <w:r>
              <w:rPr>
                <w:rStyle w:val="Jegyzkhivatkozs"/>
              </w:rPr>
              <w:t>1.7.</w:t>
              <w:tab/>
              <w:t>A kommunikáció megvalósítása</w:t>
              <w:tab/>
              <w:t>10</w:t>
            </w:r>
          </w:hyperlink>
        </w:p>
        <w:p>
          <w:pPr>
            <w:pStyle w:val="TOC2"/>
            <w:tabs>
              <w:tab w:val="clear" w:pos="9016"/>
              <w:tab w:val="right" w:pos="8502" w:leader="dot"/>
            </w:tabs>
            <w:rPr/>
          </w:pPr>
          <w:hyperlink w:anchor="__RefHeading___Toc1080_114363969" w:tooltip="Választott technológiák és indoklásuk">
            <w:r>
              <w:rPr>
                <w:rStyle w:val="Jegyzkhivatkozs"/>
              </w:rPr>
              <w:t>1.8.</w:t>
              <w:tab/>
              <w:t>Választott technológiák és indoklásuk</w:t>
              <w:tab/>
              <w:t>10</w:t>
            </w:r>
          </w:hyperlink>
        </w:p>
        <w:p>
          <w:pPr>
            <w:pStyle w:val="TOC2"/>
            <w:tabs>
              <w:tab w:val="clear" w:pos="9016"/>
              <w:tab w:val="right" w:pos="8502" w:leader="dot"/>
            </w:tabs>
            <w:rPr/>
          </w:pPr>
          <w:hyperlink w:anchor="__RefHeading___Toc1082_114363969" w:tooltip="A grafikus felhasználói felület tervezése">
            <w:r>
              <w:rPr>
                <w:rStyle w:val="Jegyzkhivatkozs"/>
              </w:rPr>
              <w:t>1.9.</w:t>
              <w:tab/>
              <w:t>A grafikus felhasználói felület tervezése</w:t>
              <w:tab/>
              <w:t>11</w:t>
            </w:r>
          </w:hyperlink>
        </w:p>
        <w:p>
          <w:pPr>
            <w:pStyle w:val="TOC1"/>
            <w:tabs>
              <w:tab w:val="clear" w:pos="8503"/>
              <w:tab w:val="right" w:pos="8502" w:leader="dot"/>
            </w:tabs>
            <w:rPr/>
          </w:pPr>
          <w:hyperlink w:anchor="__RefHeading___Toc1214_3801294825" w:tooltip="2. A tervezés pontosítása és az első fejlesztési eredmények">
            <w:r>
              <w:rPr>
                <w:rStyle w:val="Jegyzkhivatkozs"/>
              </w:rPr>
              <w:tab/>
              <w:t>2. A tervezés pontosítása és az első fejlesztési eredmények</w:t>
              <w:tab/>
              <w:t>12</w:t>
            </w:r>
          </w:hyperlink>
        </w:p>
        <w:p>
          <w:pPr>
            <w:pStyle w:val="TOC2"/>
            <w:tabs>
              <w:tab w:val="clear" w:pos="9016"/>
              <w:tab w:val="right" w:pos="8502" w:leader="dot"/>
            </w:tabs>
            <w:rPr/>
          </w:pPr>
          <w:hyperlink w:anchor="__RefHeading___Toc1216_3801294825" w:tooltip="2.1. Az adatmodell pontosítása">
            <w:r>
              <w:rPr>
                <w:rStyle w:val="Jegyzkhivatkozs"/>
              </w:rPr>
              <w:tab/>
              <w:t>2.1. Az adatmodell pontosítása</w:t>
              <w:tab/>
              <w:t>12</w:t>
            </w:r>
          </w:hyperlink>
        </w:p>
        <w:p>
          <w:pPr>
            <w:pStyle w:val="TOC2"/>
            <w:tabs>
              <w:tab w:val="clear" w:pos="9016"/>
              <w:tab w:val="right" w:pos="8502" w:leader="dot"/>
            </w:tabs>
            <w:rPr/>
          </w:pPr>
          <w:hyperlink w:anchor="__RefHeading___Toc1218_3801294825" w:tooltip="2.2. Kibővített feltételezések">
            <w:r>
              <w:rPr>
                <w:rStyle w:val="Jegyzkhivatkozs"/>
              </w:rPr>
              <w:tab/>
              <w:t>2.2. Kibővített feltételezések</w:t>
              <w:tab/>
              <w:t>13</w:t>
            </w:r>
          </w:hyperlink>
        </w:p>
        <w:p>
          <w:pPr>
            <w:pStyle w:val="TOC2"/>
            <w:tabs>
              <w:tab w:val="clear" w:pos="9016"/>
              <w:tab w:val="right" w:pos="8502" w:leader="dot"/>
            </w:tabs>
            <w:rPr/>
          </w:pPr>
          <w:hyperlink w:anchor="__RefHeading___Toc1220_3801294825" w:tooltip="2.3. A technológiai megvalósítás pontosítása">
            <w:r>
              <w:rPr>
                <w:rStyle w:val="Jegyzkhivatkozs"/>
              </w:rPr>
              <w:tab/>
              <w:t>2.3. A technológiai megvalósítás pontosítása</w:t>
              <w:tab/>
              <w:t>14</w:t>
            </w:r>
          </w:hyperlink>
        </w:p>
        <w:p>
          <w:pPr>
            <w:pStyle w:val="TOC2"/>
            <w:tabs>
              <w:tab w:val="clear" w:pos="9016"/>
              <w:tab w:val="right" w:pos="8502" w:leader="dot"/>
            </w:tabs>
            <w:rPr/>
          </w:pPr>
          <w:hyperlink w:anchor="__RefHeading___Toc1222_3801294825" w:tooltip="2.4. Fontosabb implementációs döntések és az eddig elkészült rész">
            <w:r>
              <w:rPr>
                <w:rStyle w:val="Jegyzkhivatkozs"/>
              </w:rPr>
              <w:tab/>
              <w:t>2.4. Fontosabb implementációs döntések és az eddig elkészült rész</w:t>
              <w:tab/>
              <w:t>15</w:t>
            </w:r>
          </w:hyperlink>
        </w:p>
        <w:p>
          <w:pPr>
            <w:pStyle w:val="TOC2"/>
            <w:tabs>
              <w:tab w:val="clear" w:pos="9016"/>
              <w:tab w:val="right" w:pos="8502" w:leader="dot"/>
            </w:tabs>
            <w:rPr/>
          </w:pPr>
          <w:hyperlink w:anchor="__RefHeading___Toc1224_3801294825" w:tooltip="2.5. Szerepkörök és a leltározási munkamenet">
            <w:r>
              <w:rPr>
                <w:rStyle w:val="Jegyzkhivatkozs"/>
              </w:rPr>
              <w:tab/>
              <w:t>2.5. Szerepkörök és a leltározási munkamenet</w:t>
              <w:tab/>
              <w:t>15</w:t>
            </w:r>
          </w:hyperlink>
        </w:p>
        <w:p>
          <w:pPr>
            <w:pStyle w:val="TOC2"/>
            <w:tabs>
              <w:tab w:val="clear" w:pos="9016"/>
              <w:tab w:val="right" w:pos="8502" w:leader="dot"/>
            </w:tabs>
            <w:rPr/>
          </w:pPr>
          <w:hyperlink w:anchor="__RefHeading___Toc1226_3801294825" w:tooltip="2.6. A grafikus felhasználói felület első vázlatai">
            <w:r>
              <w:rPr>
                <w:rStyle w:val="Jegyzkhivatkozs"/>
              </w:rPr>
              <w:tab/>
              <w:t>2.6. A grafikus felhasználói felület első vázlatai</w:t>
              <w:tab/>
              <w:t>16</w:t>
            </w:r>
          </w:hyperlink>
        </w:p>
        <w:p>
          <w:pPr>
            <w:pStyle w:val="TOC2"/>
            <w:tabs>
              <w:tab w:val="clear" w:pos="9016"/>
              <w:tab w:val="right" w:pos="8502" w:leader="dot"/>
            </w:tabs>
            <w:rPr/>
          </w:pPr>
          <w:hyperlink w:anchor="__RefHeading___Toc1228_3801294825" w:tooltip="2.7. Kötelező saját kiegészítő funkció: valós idejű frissítés">
            <w:r>
              <w:rPr>
                <w:rStyle w:val="Jegyzkhivatkozs"/>
              </w:rPr>
              <w:tab/>
              <w:t>2.7. Kötelező saját kiegészítő funkció: valós idejű frissítés</w:t>
              <w:tab/>
              <w:t>16</w:t>
            </w:r>
          </w:hyperlink>
        </w:p>
        <w:p>
          <w:pPr>
            <w:pStyle w:val="TOC2"/>
            <w:tabs>
              <w:tab w:val="clear" w:pos="9016"/>
              <w:tab w:val="right" w:pos="8502" w:leader="dot"/>
            </w:tabs>
            <w:rPr/>
          </w:pPr>
          <w:hyperlink w:anchor="__RefHeading___Toc1230_3801294825" w:tooltip="2.8. További tervek a következő konzultációs alkalomra">
            <w:r>
              <w:rPr>
                <w:rStyle w:val="Jegyzkhivatkozs"/>
              </w:rPr>
              <w:tab/>
              <w:t>2.8. További tervek a következő konzultációs alkalomra</w:t>
              <w:tab/>
              <w:t>17</w:t>
            </w:r>
          </w:hyperlink>
        </w:p>
        <w:p>
          <w:pPr>
            <w:pStyle w:val="TOC1"/>
            <w:tabs>
              <w:tab w:val="clear" w:pos="8503"/>
              <w:tab w:val="right" w:pos="8502" w:leader="dot"/>
            </w:tabs>
            <w:rPr/>
          </w:pPr>
          <w:hyperlink w:anchor="__RefHeading___Toc1090_114363969" w:tooltip="Irodalomjegyzék">
            <w:r>
              <w:rPr>
                <w:rStyle w:val="Jegyzkhivatkozs"/>
              </w:rPr>
              <w:tab/>
              <w:t>Irodalomjegyzék</w:t>
              <w:tab/>
              <w:t>18</w:t>
            </w:r>
          </w:hyperlink>
        </w:p>
        <w:p>
          <w:pPr>
            <w:pStyle w:val="TOC1"/>
            <w:tabs>
              <w:tab w:val="clear" w:pos="8503"/>
              <w:tab w:val="right" w:pos="8502" w:leader="dot"/>
            </w:tabs>
            <w:rPr/>
          </w:pPr>
          <w:hyperlink w:anchor="__RefHeading___Toc1092_114363969" w:tooltip="Mellékletek">
            <w:r>
              <w:rPr>
                <w:rStyle w:val="Jegyzkhivatkozs"/>
              </w:rPr>
              <w:tab/>
              <w:t>Mellékletek</w:t>
              <w:tab/>
              <w:t>19</w:t>
            </w:r>
          </w:hyperlink>
        </w:p>
        <w:p>
          <w:pPr>
            <w:pStyle w:val="TOC1"/>
            <w:tabs>
              <w:tab w:val="clear" w:pos="8503"/>
              <w:tab w:val="right" w:pos="8502" w:leader="dot"/>
            </w:tabs>
            <w:rPr/>
          </w:pPr>
          <w:hyperlink w:anchor="__RefHeading___Toc1094_114363969" w:tooltip="Ábrajegyzék">
            <w:r>
              <w:rPr>
                <w:rStyle w:val="Jegyzkhivatkozs"/>
              </w:rPr>
              <w:tab/>
              <w:t>Ábrajegyzék</w:t>
              <w:tab/>
              <w:t>20</w:t>
            </w:r>
          </w:hyperlink>
        </w:p>
        <w:p>
          <w:pPr>
            <w:pStyle w:val="TOC1"/>
            <w:tabs>
              <w:tab w:val="clear" w:pos="8503"/>
              <w:tab w:val="right" w:pos="8502" w:leader="dot"/>
            </w:tabs>
            <w:rPr/>
          </w:pPr>
          <w:hyperlink w:anchor="__RefHeading___Toc1096_114363969" w:tooltip="Táblázatjegyzék">
            <w:r>
              <w:rPr>
                <w:rStyle w:val="Jegyzkhivatkozs"/>
              </w:rPr>
              <w:tab/>
              <w:t>Táblázatjegyzék</w:t>
              <w:tab/>
              <w:t>21</w:t>
            </w:r>
          </w:hyperlink>
          <w:r>
            <w:rPr>
              <w:rStyle w:val="Jegyzkhivatkozs"/>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8" w:right="1418" w:gutter="567" w:header="709" w:top="1418" w:footer="709" w:bottom="1418"/>
              <w:pgNumType w:start="1" w:fmt="decimal"/>
              <w:formProt w:val="false"/>
              <w:textDirection w:val="lrTb"/>
              <w:docGrid w:type="default" w:linePitch="360" w:charSpace="0"/>
            </w:sectPr>
          </w:pPr>
        </w:p>
        <w:p>
          <w:pPr>
            <w:pStyle w:val="Normal"/>
            <w:spacing w:lineRule="auto" w:line="259" w:before="0" w:after="0"/>
            <w:ind w:hanging="0"/>
            <w:jc w:val="start"/>
            <w:rPr>
              <w:rFonts w:cs="Times New Roman"/>
              <w:bCs/>
              <w:caps/>
              <w:szCs w:val="24"/>
            </w:rPr>
          </w:pPr>
          <w:r>
            <w:rPr>
              <w:rFonts w:cs="Times New Roman"/>
              <w:bCs/>
              <w:caps/>
              <w:szCs w:val="24"/>
            </w:rPr>
          </w:r>
        </w:p>
        <w:p>
          <w:pPr>
            <w:sectPr>
              <w:type w:val="continuous"/>
              <w:pgSz w:w="11906" w:h="16838"/>
              <w:pgMar w:left="1418" w:right="1418" w:gutter="0" w:header="709" w:top="1418" w:footer="709" w:bottom="1418"/>
              <w:formProt w:val="false"/>
              <w:textDirection w:val="lrTb"/>
              <w:docGrid w:type="default" w:linePitch="360" w:charSpace="0"/>
            </w:sectPr>
          </w:pPr>
          <w:r>
            <w:br w:type="page"/>
          </w:r>
        </w:p>
      </w:sdtContent>
    </w:sdt>
    <w:p>
      <w:pPr>
        <w:pStyle w:val="Cmsor1-szmozatlan"/>
        <w:spacing w:before="0" w:after="480"/>
        <w:ind w:hanging="0" w:start="0"/>
        <w:rPr/>
      </w:pPr>
      <w:bookmarkStart w:id="1" w:name="__RefHeading___Toc1062_114363969"/>
      <w:bookmarkStart w:id="2" w:name="_Toc99107193"/>
      <w:bookmarkEnd w:id="1"/>
      <w:r>
        <w:rPr/>
        <w:t>Jelölésjegyzék</w:t>
      </w:r>
      <w:bookmarkEnd w:id="2"/>
    </w:p>
    <w:tbl>
      <w:tblPr>
        <w:tblW w:w="8642" w:type="dxa"/>
        <w:jc w:val="start"/>
        <w:tblInd w:w="0" w:type="dxa"/>
        <w:tblLayout w:type="fixed"/>
        <w:tblCellMar>
          <w:top w:w="0" w:type="dxa"/>
          <w:start w:w="108" w:type="dxa"/>
          <w:bottom w:w="0" w:type="dxa"/>
          <w:end w:w="108" w:type="dxa"/>
        </w:tblCellMar>
      </w:tblPr>
      <w:tblGrid>
        <w:gridCol w:w="1126"/>
        <w:gridCol w:w="7516"/>
      </w:tblGrid>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r>
        <w:trPr/>
        <w:tc>
          <w:tcPr>
            <w:tcW w:w="1126" w:type="dxa"/>
            <w:tcBorders/>
          </w:tcPr>
          <w:p>
            <w:pPr>
              <w:pStyle w:val="Normal"/>
              <w:widowControl/>
              <w:spacing w:lineRule="auto" w:line="259" w:before="0" w:after="160"/>
              <w:ind w:hanging="0"/>
              <w:jc w:val="end"/>
              <w:rPr>
                <w:rFonts w:eastAsia="Calibri"/>
                <w:kern w:val="0"/>
                <w:szCs w:val="22"/>
                <w:lang w:val="hu-HU" w:eastAsia="en-US" w:bidi="ar-SA"/>
              </w:rPr>
            </w:pPr>
            <w:r>
              <w:rPr>
                <w:rFonts w:eastAsia="Calibri"/>
                <w:kern w:val="0"/>
                <w:szCs w:val="22"/>
                <w:lang w:val="hu-HU" w:eastAsia="en-US" w:bidi="ar-SA"/>
              </w:rPr>
            </w:r>
          </w:p>
        </w:tc>
        <w:tc>
          <w:tcPr>
            <w:tcW w:w="7516" w:type="dxa"/>
            <w:tcBorders/>
          </w:tcPr>
          <w:p>
            <w:pPr>
              <w:pStyle w:val="Normal"/>
              <w:widowControl/>
              <w:spacing w:lineRule="auto" w:line="259" w:before="0" w:after="160"/>
              <w:ind w:hanging="0"/>
              <w:jc w:val="start"/>
              <w:rPr>
                <w:rFonts w:eastAsia="Calibri"/>
                <w:kern w:val="0"/>
                <w:szCs w:val="22"/>
                <w:lang w:val="hu-HU" w:eastAsia="en-US" w:bidi="ar-SA"/>
              </w:rPr>
            </w:pPr>
            <w:r>
              <w:rPr>
                <w:rFonts w:eastAsia="Calibri"/>
                <w:kern w:val="0"/>
                <w:szCs w:val="22"/>
                <w:lang w:val="hu-HU" w:eastAsia="en-US" w:bidi="ar-SA"/>
              </w:rPr>
            </w:r>
          </w:p>
        </w:tc>
      </w:tr>
    </w:tbl>
    <w:p>
      <w:pPr>
        <w:pStyle w:val="Normal"/>
        <w:spacing w:lineRule="auto" w:line="259" w:before="0" w:after="160"/>
        <w:ind w:hanging="0"/>
        <w:jc w:val="start"/>
        <w:rPr/>
      </w:pPr>
      <w:r>
        <w:rPr/>
      </w:r>
      <w:r>
        <w:br w:type="page"/>
      </w:r>
    </w:p>
    <w:p>
      <w:pPr>
        <w:pStyle w:val="Heading1"/>
        <w:numPr>
          <w:ilvl w:val="0"/>
          <w:numId w:val="4"/>
        </w:numPr>
        <w:spacing w:before="0" w:after="480"/>
        <w:rPr/>
      </w:pPr>
      <w:bookmarkStart w:id="3" w:name="__RefHeading___Toc1064_114363969"/>
      <w:bookmarkStart w:id="4" w:name="_Toc98926923"/>
      <w:bookmarkStart w:id="5" w:name="_Toc99107194"/>
      <w:bookmarkEnd w:id="3"/>
      <w:r>
        <w:rPr/>
        <w:t>Bevezetés</w:t>
      </w:r>
      <w:bookmarkEnd w:id="4"/>
      <w:bookmarkEnd w:id="5"/>
    </w:p>
    <w:p>
      <w:pPr>
        <w:pStyle w:val="Firstparagraph"/>
        <w:rPr/>
      </w:pPr>
      <w:r>
        <w:rPr/>
        <w:t>Jelen fejezet egy egyetemi eszközök nyilvántartására és leltározására szolgáló kliens–szerver alkalmazás tervezését mutatja be, amely a Projektlabor tantárgy keretében, három fős csapatmunkában készül. A fejezet célja, hogy áttekintést adjon a megoldandó problémáról, a rendszerrel szemben támasztott követelményekről, az alkalmazott feltételezésekről, a kialakított architektúráról, adatmodellről és a legfontosabb technológiai és felhasználói felülettel kapcsolatos döntésekről, megalapozva ezzel a további fejezetekben részletezett implementációs munkát.</w:t>
      </w:r>
    </w:p>
    <w:p>
      <w:pPr>
        <w:pStyle w:val="Heading2"/>
        <w:ind w:hanging="431" w:start="431"/>
        <w:rPr/>
      </w:pPr>
      <w:bookmarkStart w:id="6" w:name="__RefHeading___Toc1066_114363969"/>
      <w:bookmarkEnd w:id="6"/>
      <w:r>
        <w:rPr/>
        <w:t>A probléma és a megoldandó feladat háttere</w:t>
      </w:r>
    </w:p>
    <w:p>
      <w:pPr>
        <w:pStyle w:val="Firstparagraph"/>
        <w:rPr/>
      </w:pPr>
      <w:r>
        <w:rPr/>
        <w:t>Az egyetemi eszközök leltári nyilvántartása jelenleg jellemzően táblázatkezelő szoftverrel vezetett, kézzel karbantartott listák és papíralapú leltári ívek segítségével történik. Ez a gyakorlat éves szinten lebonyolítható, de több szempontból is korlátozza a nyilvántartás megbízhatóságát és hosszú távú használhatóságát.</w:t>
      </w:r>
    </w:p>
    <w:p>
      <w:pPr>
        <w:pStyle w:val="Normal"/>
        <w:rPr/>
      </w:pPr>
      <w:r>
        <w:rPr/>
        <w:t>A legfontosabb hiányosság, hogy egy táblázatalapú megoldás nem választja szét egyértelműen az eszközök elvárt állapotát (a forrásadatot) a tényleges leltározás során rögzített eredményektől. Ha egy leltározó közvetlenül a forrásadatban javít, a korábbi állapot elvész, és utólag nem rekonstruálható, hogy egy adott leltározási időszakban pontosan mit találtak. Hasonlóan nehezen kezelhető a hosszú távú nyomon követés is: az eszközök állapotváltozásai (aktív, selejtezett, elveszett, ellopott), fizikai helyváltoztatásai és a felelős személyek módosulása jellemzően nem kerül dokumentálásra időbélyeggel, így a nyilvántartás nem alkalmas arra, hogy egy adott időpontra visszamenőleg is megbízható képet adjon az eszközállományról.</w:t>
      </w:r>
    </w:p>
    <w:p>
      <w:pPr>
        <w:pStyle w:val="Normal"/>
        <w:rPr/>
      </w:pPr>
      <w:r>
        <w:rPr/>
        <w:t>A projekt célja ezért nem egyszerűen egy adott évi leltár lebonyolítását támogató eszköz elkészítése, hanem egy olyan kliens-szerver alapú alkalmazás megtervezése és megvalósítása, amely a leltározási időszakoktól függetlenül is alkalmas az eszközök folyamatos nyilvántartására, és amelyben minden leltározási esemény önálló, utólag is vizsgálható adatként kerül rögzítésre.</w:t>
      </w:r>
    </w:p>
    <w:p>
      <w:pPr>
        <w:pStyle w:val="Heading2"/>
        <w:ind w:hanging="431" w:start="431"/>
        <w:rPr/>
      </w:pPr>
      <w:bookmarkStart w:id="7" w:name="__RefHeading___Toc1068_114363969"/>
      <w:bookmarkEnd w:id="7"/>
      <w:r>
        <w:rPr/>
        <w:t>Követelmények és felhasználási lehetőségek</w:t>
      </w:r>
    </w:p>
    <w:p>
      <w:pPr>
        <w:pStyle w:val="Firstparagraph"/>
        <w:rPr/>
      </w:pPr>
      <w:r>
        <w:rPr/>
        <w:t>A rendszerrel szemben támasztott funkcionális követelmények a feladatkiírásban meghatározott alapfogalmakból (eszköz, leltári forrásadat, leltárkörzet, leltározási időszak, leolvasás, helyiség, felelős személy, eszköztípus, kiegészítő, eszközkód) és az ezekhez kapcsolódó folyamatokból vezethetők le. A legfontosabb elvárások a következők:</w:t>
      </w:r>
    </w:p>
    <w:p>
      <w:pPr>
        <w:pStyle w:val="ListParagraph"/>
        <w:numPr>
          <w:ilvl w:val="0"/>
          <w:numId w:val="3"/>
        </w:numPr>
        <w:rPr/>
      </w:pPr>
      <w:r>
        <w:rPr/>
        <w:t>vonalkód alapú leltározás, amely tényleges vonalkódolvasó nélkül is tesztelhető és bemutatható;</w:t>
      </w:r>
    </w:p>
    <w:p>
      <w:pPr>
        <w:pStyle w:val="ListParagraph"/>
        <w:numPr>
          <w:ilvl w:val="0"/>
          <w:numId w:val="3"/>
        </w:numPr>
        <w:rPr/>
      </w:pPr>
      <w:r>
        <w:rPr/>
        <w:t>több leltárkörzet kezelése, valamint az egy másik körzethez tartozó, de a vizsgált helyiségben megtalált eszközök felismerése és rögzítése elvetés nélkül;</w:t>
      </w:r>
    </w:p>
    <w:p>
      <w:pPr>
        <w:pStyle w:val="ListParagraph"/>
        <w:numPr>
          <w:ilvl w:val="0"/>
          <w:numId w:val="3"/>
        </w:numPr>
        <w:rPr/>
      </w:pPr>
      <w:r>
        <w:rPr/>
        <w:t>egy eszközhöz tartozó többféle azonosítókód (SAP szám, leltári számok, egyéb kódok) kezelése úgy, hogy bármelyik alapján egyértelműen azonosítható legyen az eszköz;</w:t>
      </w:r>
    </w:p>
    <w:p>
      <w:pPr>
        <w:pStyle w:val="ListParagraph"/>
        <w:numPr>
          <w:ilvl w:val="0"/>
          <w:numId w:val="3"/>
        </w:numPr>
        <w:rPr/>
      </w:pPr>
      <w:r>
        <w:rPr/>
        <w:t>darabszám alapú eszközök (például egy harmincdarabos székkészlet) mennyiségi nyilvántartása, az elvárt és a ténylegesen beolvasott mennyiség összevetésével;</w:t>
      </w:r>
    </w:p>
    <w:p>
      <w:pPr>
        <w:pStyle w:val="ListParagraph"/>
        <w:numPr>
          <w:ilvl w:val="0"/>
          <w:numId w:val="3"/>
        </w:numPr>
        <w:rPr/>
      </w:pPr>
      <w:r>
        <w:rPr/>
        <w:t>eszközökhöz kapcsolódó kiegészítők kezelése, megkülönböztetve a közvetlenül ellenőrzött és a fő eszköz alapján feltételezett meglétet;</w:t>
      </w:r>
    </w:p>
    <w:p>
      <w:pPr>
        <w:pStyle w:val="ListParagraph"/>
        <w:numPr>
          <w:ilvl w:val="0"/>
          <w:numId w:val="3"/>
        </w:numPr>
        <w:rPr/>
      </w:pPr>
      <w:r>
        <w:rPr/>
        <w:t>a leltári forrásadat és az adott időszak leolvasásainak szétválasztása, a korábbi leltározási időszakok eredményeinek megőrzésével;</w:t>
      </w:r>
    </w:p>
    <w:p>
      <w:pPr>
        <w:pStyle w:val="ListParagraph"/>
        <w:numPr>
          <w:ilvl w:val="0"/>
          <w:numId w:val="3"/>
        </w:numPr>
        <w:rPr/>
      </w:pPr>
      <w:r>
        <w:rPr/>
        <w:t>az eszközök fizikai helyének nyomon követése a forrásadattól elkülönítve, történettel;</w:t>
      </w:r>
    </w:p>
    <w:p>
      <w:pPr>
        <w:pStyle w:val="ListParagraph"/>
        <w:numPr>
          <w:ilvl w:val="0"/>
          <w:numId w:val="3"/>
        </w:numPr>
        <w:rPr/>
      </w:pPr>
      <w:r>
        <w:rPr/>
        <w:t>felelős személy hozzárendelése az eszközökhöz, kereshető és szűrhető módon;</w:t>
      </w:r>
    </w:p>
    <w:p>
      <w:pPr>
        <w:pStyle w:val="ListParagraph"/>
        <w:numPr>
          <w:ilvl w:val="0"/>
          <w:numId w:val="3"/>
        </w:numPr>
        <w:rPr/>
      </w:pPr>
      <w:r>
        <w:rPr/>
        <w:t>bővíthető, nem véglegesen rögzített eszköztípusok kialakítása;</w:t>
      </w:r>
    </w:p>
    <w:p>
      <w:pPr>
        <w:pStyle w:val="ListParagraph"/>
        <w:numPr>
          <w:ilvl w:val="0"/>
          <w:numId w:val="3"/>
        </w:numPr>
        <w:rPr/>
      </w:pPr>
      <w:r>
        <w:rPr/>
        <w:t>nagy adatmennyiség melletti keresés és szűrés több szempont szerint;</w:t>
      </w:r>
    </w:p>
    <w:p>
      <w:pPr>
        <w:pStyle w:val="ListParagraph"/>
        <w:numPr>
          <w:ilvl w:val="0"/>
          <w:numId w:val="3"/>
        </w:numPr>
        <w:rPr/>
      </w:pPr>
      <w:r>
        <w:rPr/>
        <w:t>a leltározás eredményeinek lekérdezése, szűrése és Excel formátumú exportálása.</w:t>
      </w:r>
    </w:p>
    <w:p>
      <w:pPr>
        <w:pStyle w:val="Normal"/>
        <w:rPr/>
      </w:pPr>
      <w:r>
        <w:rPr/>
        <w:t>A felhasználási lehetőségek túlmutatnak az éves leltár lebonyolításán: a rendszernek év közben is támogatnia kell az eszközök keresését, állapotának módosítását, valamint az egyes leltározási időszakok eredményeinek utólagos lekérdezését és összehasonlítását.</w:t>
      </w:r>
    </w:p>
    <w:p>
      <w:pPr>
        <w:pStyle w:val="Heading2"/>
        <w:ind w:hanging="431" w:start="431"/>
        <w:rPr/>
      </w:pPr>
      <w:bookmarkStart w:id="8" w:name="__RefHeading___Toc1070_114363969"/>
      <w:bookmarkEnd w:id="8"/>
      <w:r>
        <w:rPr/>
        <w:t>Alkalmazott feltételezések</w:t>
      </w:r>
    </w:p>
    <w:p>
      <w:pPr>
        <w:pStyle w:val="Firstparagraph"/>
        <w:rPr/>
      </w:pPr>
      <w:r>
        <w:rPr/>
        <w:t>A követelmények egy része szándékosan nem teljesen kötött, ezért a tervezés során a csapatnak több ponton feltételezésekkel kellett élnie. A legfontosabb feltételezések a következők:</w:t>
      </w:r>
    </w:p>
    <w:p>
      <w:pPr>
        <w:pStyle w:val="ListParagraph"/>
        <w:numPr>
          <w:ilvl w:val="0"/>
          <w:numId w:val="3"/>
        </w:numPr>
        <w:rPr/>
      </w:pPr>
      <w:r>
        <w:rPr/>
        <w:t>a vonalkódolvasó a kliens szempontjából hagyományos billentyűzetként viselkedik, ezért a beolvasás szimulálható a fókuszban lévő mezőbe történő beillesztéssel vagy külön teszt móddal;</w:t>
      </w:r>
    </w:p>
    <w:p>
      <w:pPr>
        <w:pStyle w:val="ListParagraph"/>
        <w:numPr>
          <w:ilvl w:val="0"/>
          <w:numId w:val="3"/>
        </w:numPr>
        <w:rPr/>
      </w:pPr>
      <w:r>
        <w:rPr/>
        <w:t>egy adott leltárkörzet egy adott leltározási időszakon belül egyszerre csak egy állapotban (nyitott vagy lezárt) lehet;</w:t>
      </w:r>
    </w:p>
    <w:p>
      <w:pPr>
        <w:pStyle w:val="ListParagraph"/>
        <w:numPr>
          <w:ilvl w:val="0"/>
          <w:numId w:val="3"/>
        </w:numPr>
        <w:rPr/>
      </w:pPr>
      <w:r>
        <w:rPr/>
        <w:t>a kezdeti Excel forrásállomány szerkezete alapvetően konzisztens, importáláskor legfeljebb kisebb adattisztításra van szükség;</w:t>
      </w:r>
    </w:p>
    <w:p>
      <w:pPr>
        <w:pStyle w:val="ListParagraph"/>
        <w:numPr>
          <w:ilvl w:val="0"/>
          <w:numId w:val="3"/>
        </w:numPr>
        <w:rPr/>
      </w:pPr>
      <w:r>
        <w:rPr/>
        <w:t>egy helyiségben egyidejűleg több, különböző leltárkörzethez tartozó eszköz is elhelyezkedhet;</w:t>
      </w:r>
    </w:p>
    <w:p>
      <w:pPr>
        <w:pStyle w:val="ListParagraph"/>
        <w:numPr>
          <w:ilvl w:val="0"/>
          <w:numId w:val="3"/>
        </w:numPr>
        <w:rPr/>
      </w:pPr>
      <w:r>
        <w:rPr/>
        <w:t>a felhasználói fiókokat adminisztrátor hozza létre és rendeli hozzájuk a szerepkört, önálló regisztrációra nincs szükség;</w:t>
      </w:r>
    </w:p>
    <w:p>
      <w:pPr>
        <w:pStyle w:val="ListParagraph"/>
        <w:numPr>
          <w:ilvl w:val="0"/>
          <w:numId w:val="3"/>
        </w:numPr>
        <w:rPr/>
      </w:pPr>
      <w:r>
        <w:rPr/>
        <w:t>a leltározás során a kliens és a szerver folyamatos hálózati kapcsolatban van, offline működés az első verzióban nem elvárás.</w:t>
      </w:r>
    </w:p>
    <w:p>
      <w:pPr>
        <w:pStyle w:val="Heading2"/>
        <w:ind w:hanging="431" w:start="431"/>
        <w:rPr/>
      </w:pPr>
      <w:bookmarkStart w:id="9" w:name="__RefHeading___Toc1072_114363969"/>
      <w:bookmarkEnd w:id="9"/>
      <w:r>
        <w:rPr/>
        <w:t>Rendszerarchitektúra és komponensek</w:t>
      </w:r>
    </w:p>
    <w:p>
      <w:pPr>
        <w:pStyle w:val="Firstparagraph"/>
        <w:rPr/>
      </w:pPr>
      <w:r>
        <w:rPr/>
        <w:t>A rendszer valódi kliens-szerver architektúrában valósul meg, amelyben a kliens és a szerver feladatai egyértelműen elkülönülnek egymástól.</w:t>
      </w:r>
    </w:p>
    <w:p>
      <w:pPr>
        <w:pStyle w:val="Normal"/>
        <w:rPr/>
      </w:pPr>
      <w:r>
        <w:rPr/>
        <w:t>A kliensoldalt egy .NET MAUI alkalmazás valósítja meg, amely a felhasználói felület megjelenítéséért, a felhasználói műveletek (például a szkennelés indítása, szűrők beállítása) kezeléséért, valamint a szerveroldali szolgáltatások meghívásáért felel. A kliens nem fér hozzá közvetlenül az adatbázishoz, minden adatművelet a szerveren keresztül történik.</w:t>
      </w:r>
    </w:p>
    <w:p>
      <w:pPr>
        <w:pStyle w:val="Normal"/>
        <w:rPr/>
      </w:pPr>
      <w:r>
        <w:rPr/>
        <w:t>A szerveroldal egy ASP.NET Core Web API alkalmazás, amely rétegzett felépítésű: a tartományi (domain) réteg tartalmazza az entitásokat és az alapvető üzleti szabályokat, az alkalmazási réteg az egyes műveletekhez tartozó logikát, az infrastruktúra réteg az Entity Framework Core-on keresztüli adatbázis-elérést, az API réteg pedig a kliens felől érkező kérések fogadását és a válaszok előállítását. Ez a rétegzés biztosítja, hogy a kiírásban is elvárt bővíthetőség – új funkciók beépítése jelentős újratervezés nélkül - megvalósítható legyen.</w:t>
      </w:r>
    </w:p>
    <w:p>
      <w:pPr>
        <w:pStyle w:val="Heading2"/>
        <w:ind w:hanging="431" w:start="431"/>
        <w:rPr/>
      </w:pPr>
      <w:bookmarkStart w:id="10" w:name="__RefHeading___Toc1074_114363969"/>
      <w:bookmarkEnd w:id="10"/>
      <w:r>
        <w:rPr/>
        <w:t>Adatmodell és adatkezelés</w:t>
      </w:r>
    </w:p>
    <w:p>
      <w:pPr>
        <w:pStyle w:val="Firstparagraph"/>
        <w:rPr/>
      </w:pPr>
      <w:r>
        <w:rPr/>
        <w:t>Az adatmodell kialakításának központi elve a leltári forrásadat és a leltározási események egyértelmű szétválasztása.</w:t>
      </w:r>
    </w:p>
    <w:p>
      <w:pPr>
        <w:pStyle w:val="Normal"/>
        <w:rPr/>
      </w:pPr>
      <w:r>
        <w:rPr/>
        <w:t>Az eszközök törzsadatait az Eszköz entitás tárolja, amely tartalmazza többek között a megnevezést, az elvárt mennyiséget és az aktuális állapotot. Az eszközhöz tartozó különböző azonosítókódokat (SAP szám, leltári számok stb., Eszközkód), a hozzá kapcsolódó kiegészítőket (Kiegészítő), az eszköztípust (Eszköztípus), valamint a felelős személyt (FelelősSzemély) önálló, az Eszközzel kapcsolatban álló entitások reprezentálják, hogy egy eszközhöz tetszőleges számú kód, illetve tartozék legyen rendelhető.</w:t>
      </w:r>
      <w:r>
        <w:rPr>
          <w:color w:val="auto"/>
        </w:rPr>
      </w:r>
      <w:r>
        <w:rPr/>
      </w:r>
    </w:p>
    <w:p>
      <w:pPr>
        <w:pStyle w:val="Normal"/>
        <w:rPr/>
      </w:pPr>
      <w:r>
        <w:rPr/>
        <w:t>A tényleges leltározási eseményeket a Leolvasás entitás rögzíti: minden egyes beolvasás önálló rekordként, saját időbélyeggel, a ténylegesen kiválasztott leltárkörzettel, a fizikai helyiséggel és a beolvasott mennyiséggel kerül tárolásra, a Leltári időszak entitáshoz kapcsolódóan. Ez a megoldás teszi lehetővé, hogy egy adott leltározás eredménye a forrásadattal összevethető legyen anélkül, hogy a forrásadat módosulna, és hogy a korábbi leltározási időszakok eredményei is megőrizhetők maradjanak.</w:t>
      </w:r>
    </w:p>
    <w:p>
      <w:pPr>
        <w:pStyle w:val="Normal"/>
        <w:rPr/>
      </w:pPr>
      <w:r>
        <w:rPr/>
        <w:t>Fontos tervezési döntés, hogy a leltárkörzet és a helyiség két, egymástól független tulajdonságként szerepel az adatmodellben: a leltárkörzet az eszköz szervezeti, adminisztratív hovatartozását fejezi ki, és a forrásadat része, míg a helyiség az eszköz fizikai elhelyezkedését jelenti, amely a leltározási/helykezelési adatok között, elkülönítve és történettel követve kerül tárolásra. Emellett az eszközök tényleges törlése helyett állapotjelzőt (aktív, selejtezett, elveszett, ellopott, egyéb) és az állapotváltozásokhoz tartozó időbélyeget vezettünk be, hogy az adatok története utólag is vizsgálható maradjon.</w:t>
      </w:r>
    </w:p>
    <w:p>
      <w:pPr>
        <w:pStyle w:val="Heading2"/>
        <w:ind w:hanging="431" w:start="431"/>
        <w:rPr/>
      </w:pPr>
      <w:bookmarkStart w:id="11" w:name="__RefHeading___Toc1076_114363969"/>
      <w:bookmarkEnd w:id="11"/>
      <w:r>
        <w:rPr/>
        <w:t>A kliens és a szerver működése</w:t>
      </w:r>
    </w:p>
    <w:p>
      <w:pPr>
        <w:pStyle w:val="Firstparagraph"/>
        <w:rPr/>
      </w:pPr>
      <w:r>
        <w:rPr/>
        <w:t>A kliens és a szerver feladatmegosztása a rétegzett architektúrának megfelelően valósul meg.</w:t>
      </w:r>
    </w:p>
    <w:p>
      <w:pPr>
        <w:pStyle w:val="Normal"/>
        <w:rPr/>
      </w:pPr>
      <w:r>
        <w:rPr/>
        <w:t>A kliens elsődleges feladata a felhasználói felület biztosítása, MVVM minta szerint felépítve: a nézetek a megjelenítésért, a nézetmodellek a felhasználói interakciók kezeléséért és a szerver felé irányuló kérések előkészítéséért felelnek. A kliens végzi az egyszerűbb, helyi validációkat, például a kötelező mezők kitöltésének ellenőrzését, az érdemi üzleti logikát azonban nem tartalmazza.</w:t>
      </w:r>
    </w:p>
    <w:p>
      <w:pPr>
        <w:pStyle w:val="Normal"/>
        <w:rPr/>
      </w:pPr>
      <w:r>
        <w:rPr/>
        <w:t>A szerver felel az üzleti szabályok érvényesítéséért – például annak eldöntéséért, hogy egy beolvasott eszköz a kiválasztott leltárkörzethez tartozik-e, illetve a mennyiségi eltérések kiszámításáért –, az adatok tartós tárolásáért az Entity Framework Core-on keresztül, a jogosultságok ellenőrzéséért, valamint az Excel forrásállomány importálásáért és a riportok összeállításáért.</w:t>
      </w:r>
    </w:p>
    <w:p>
      <w:pPr>
        <w:pStyle w:val="Heading2"/>
        <w:ind w:hanging="431" w:start="431"/>
        <w:rPr/>
      </w:pPr>
      <w:bookmarkStart w:id="12" w:name="__RefHeading___Toc1078_114363969"/>
      <w:bookmarkEnd w:id="12"/>
      <w:r>
        <w:rPr/>
        <w:t>A kommunikáció megvalósítása</w:t>
      </w:r>
    </w:p>
    <w:p>
      <w:pPr>
        <w:pStyle w:val="Firstparagraph"/>
        <w:rPr/>
      </w:pPr>
      <w:r>
        <w:rPr/>
        <w:t>A kliens és a szerver közötti kommunikáció REST alapú, HTTPS protokollon keresztül, JSON formátumú üzenetekkel valósul meg.</w:t>
      </w:r>
    </w:p>
    <w:p>
      <w:pPr>
        <w:pStyle w:val="Normal"/>
        <w:rPr/>
      </w:pPr>
      <w:r>
        <w:rPr/>
        <w:t>A végpontok erőforrás-orientált módon kerülnek kialakításra – például az eszközök, a leltári időszakok és a leolvasások külön erőforrásként kezelve –, egységes hibaválasz-formátummal. A hitelesítés és a jogosultságkezelés JWT alapú: bejelentkezéskor a szerver egy tokent állít ki, amelyet a kliens minden további kérésnél a HTTP fejlécben küld el, és amely tartalmazza a felhasználó szerepkörét is. Ez teszi lehetővé, hogy a szerver minden kérésnél ellenőrizni tudja, jogosult-e az adott felhasználó a kért művelet elvégzésére.</w:t>
      </w:r>
    </w:p>
    <w:p>
      <w:pPr>
        <w:pStyle w:val="Heading2"/>
        <w:ind w:hanging="431" w:start="431"/>
        <w:rPr/>
      </w:pPr>
      <w:bookmarkStart w:id="13" w:name="__RefHeading___Toc1080_114363969"/>
      <w:bookmarkEnd w:id="13"/>
      <w:r>
        <w:rPr/>
        <w:t>Választott technológiák és indoklásuk</w:t>
      </w:r>
    </w:p>
    <w:p>
      <w:pPr>
        <w:pStyle w:val="Firstparagraph"/>
        <w:rPr/>
      </w:pPr>
      <w:r>
        <w:rPr/>
        <w:t>A technológiai döntéseket elsősorban a csapat meglévő ismeretei, a rendelkezésre álló fejlesztési idő, valamint a kiírásban megfogalmazott bővíthetőségi és architekturális elvárások alapján hoztuk meg.</w:t>
      </w:r>
    </w:p>
    <w:p>
      <w:pPr>
        <w:pStyle w:val="ListParagraph"/>
        <w:numPr>
          <w:ilvl w:val="0"/>
          <w:numId w:val="3"/>
        </w:numPr>
        <w:rPr/>
      </w:pPr>
      <w:r>
        <w:rPr/>
        <w:t>.NET MAUI: egyetlen C# kódbázisból lehetővé teszi többféle platform célzását, és a csapat már rendelkezik .NET tapasztalattal;</w:t>
      </w:r>
    </w:p>
    <w:p>
      <w:pPr>
        <w:pStyle w:val="ListParagraph"/>
        <w:numPr>
          <w:ilvl w:val="0"/>
          <w:numId w:val="3"/>
        </w:numPr>
        <w:rPr/>
      </w:pPr>
      <w:r>
        <w:rPr/>
        <w:t>ASP.NET Core Web API: érett, jól dokumentált keretrendszer, beépített függőséginjektálással és könnyen tesztelhető felépítéssel;</w:t>
      </w:r>
    </w:p>
    <w:p>
      <w:pPr>
        <w:pStyle w:val="ListParagraph"/>
        <w:numPr>
          <w:ilvl w:val="0"/>
          <w:numId w:val="3"/>
        </w:numPr>
        <w:rPr/>
      </w:pPr>
      <w:r>
        <w:rPr/>
        <w:t>Entity Framework Core: migrációkon keresztüli, verziókövetett adatbázis-séma kezelést és LINQ alapú lekérdezéseket tesz lehetővé, ami gyorsítja a fejlesztést;</w:t>
      </w:r>
    </w:p>
    <w:p>
      <w:pPr>
        <w:pStyle w:val="ListParagraph"/>
        <w:numPr>
          <w:ilvl w:val="0"/>
          <w:numId w:val="3"/>
        </w:numPr>
        <w:rPr/>
      </w:pPr>
      <w:r>
        <w:rPr/>
        <w:t>relációs adatbázis, a fejlesztés során SQLite: tranzakciós, konzisztens adatkezelést biztosít, ami a leltározási adatok integritása szempontjából elengedhetetlen; az Entity Framework Core használata miatt a konkrét adatbázis-motor éles környezetben jelentős kódmódosítás nélkül lecserélhető;</w:t>
      </w:r>
    </w:p>
    <w:p>
      <w:pPr>
        <w:pStyle w:val="ListParagraph"/>
        <w:numPr>
          <w:ilvl w:val="0"/>
          <w:numId w:val="3"/>
        </w:numPr>
        <w:rPr/>
      </w:pPr>
      <w:r>
        <w:rPr/>
        <w:t>Git verziókezelés feature branch alapú munkafolyamattal: támogatja a hármas csapat párhuzamos fejlesztését és a döntések commit szintű dokumentálását.</w:t>
      </w:r>
    </w:p>
    <w:p>
      <w:pPr>
        <w:pStyle w:val="Heading2"/>
        <w:ind w:hanging="431" w:start="431"/>
        <w:rPr/>
      </w:pPr>
      <w:bookmarkStart w:id="14" w:name="__RefHeading___Toc1082_114363969"/>
      <w:bookmarkEnd w:id="14"/>
      <w:r>
        <w:rPr/>
        <w:t>A grafikus felhasználói felület tervezése</w:t>
      </w:r>
    </w:p>
    <w:p>
      <w:pPr>
        <w:pStyle w:val="Firstparagraph"/>
        <w:rPr/>
      </w:pPr>
      <w:r>
        <w:rPr/>
        <w:t>A felhasználói felület tervezésének kiindulópontja a szerepkör szerinti elkülönítés volt.</w:t>
      </w:r>
    </w:p>
    <w:p>
      <w:pPr>
        <w:pStyle w:val="Normal"/>
        <w:rPr/>
      </w:pPr>
      <w:r>
        <w:rPr/>
        <w:t>A leltározó szerepkörhöz tartozó felületek - bejelentkezés, leltárkörzet és helyiség kiválasztása, szkennelés, az eredmény áttekintése - egy lineáris munkafolyamatot alkotnak, amelyben a szkennelés képernyő a legösszetettebb: itt jelenik meg azonnali visszajelzésként, ha egy eszköz más leltárkörzetből származik, ha mennyiségi eltérés áll fenn, vagy ha a beolvasott kód nem azonosítható. A kiértékelő szerepkörhöz a leltári időszakok és eltérések áttekintő, illetve az export felületek tartoznak, míg az adminisztrátor szerepkörhöz az eszköztörzs, a törzsadatok - eszköztípusok, helyiségek, leltárkörzetek - és a felhasználók kezelésére szolgáló felületek.</w:t>
      </w:r>
    </w:p>
    <w:p>
      <w:pPr>
        <w:pStyle w:val="Normal"/>
        <w:spacing w:before="0" w:after="0"/>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18" w:right="1418" w:gutter="0" w:header="709" w:top="1418" w:footer="709" w:bottom="1418"/>
          <w:pgNumType w:fmt="decimal"/>
          <w:formProt w:val="false"/>
          <w:textDirection w:val="lrTb"/>
          <w:docGrid w:type="default" w:linePitch="312" w:charSpace="0"/>
        </w:sectPr>
      </w:pPr>
      <w:r>
        <w:rPr/>
        <w:t>A tervezés vezérelve, hogy a felület nagyobb adatmennyiség mellett is átlátható maradjon: nem minden adatmező jelenik meg minden nézeten, a felhasználó szűrők és keresés segítségével szabja testre, mely információkat szeretné látni. A szerepkör szerinti navigációs felosztás egyúttal a jogosultsági modellt is tükrözi: egy adott szerepkörhöz tartozó felhasználó csak a számára releváns felületeket éri el.</w:t>
      </w:r>
    </w:p>
    <w:p>
      <w:pPr>
        <w:pStyle w:val="Cmsor1-szmozatlan"/>
        <w:ind w:hanging="357" w:start="357"/>
        <w:rPr/>
      </w:pPr>
      <w:bookmarkStart w:id="15" w:name="__RefHeading___Toc1214_3801294825"/>
      <w:bookmarkEnd w:id="15"/>
      <w:r>
        <w:rPr/>
        <w:t>2. A tervezés pontosítása és az első fejlesztési eredmények</w:t>
      </w:r>
    </w:p>
    <w:p>
      <w:pPr>
        <w:pStyle w:val="Firstparagraph"/>
        <w:rPr/>
      </w:pPr>
      <w:r>
        <w:rPr/>
        <w:t>Jelen fejezet a Projektlabor harmadik konzultációs alkalmára elkészült munkát mutatja be. Célja, hogy az 1. fejezetben ismertetett tervekhez képest bemutassa a pontosított adatmodellt, a technológiai döntések finomítását, valamint az addig elkészült, ténylegesen működő szerveroldali komponenseket. Az itt ismertetett eredmények egy valós Excel forrásállomány (két leltárkörzet mintaadatai) elemzésére és tesztelésére épülnek.</w:t>
      </w:r>
    </w:p>
    <w:p>
      <w:pPr>
        <w:pStyle w:val="Heading2"/>
        <w:numPr>
          <w:ilvl w:val="0"/>
          <w:numId w:val="0"/>
        </w:numPr>
        <w:ind w:hanging="0" w:start="0"/>
        <w:rPr/>
      </w:pPr>
      <w:bookmarkStart w:id="16" w:name="__RefHeading___Toc1216_3801294825"/>
      <w:bookmarkEnd w:id="16"/>
      <w:r>
        <w:rPr/>
        <w:t>2.1. Az adatmodell pontosítása</w:t>
      </w:r>
    </w:p>
    <w:p>
      <w:pPr>
        <w:pStyle w:val="Firstparagraph"/>
        <w:rPr/>
      </w:pPr>
      <w:r>
        <w:rPr/>
        <w:t>Az 1.5. alfejezetben ismertetett elveket – a forrásadat és a leltározási események szétválasztása, a leltárkörzet és a helyiség függetlensége, valamint a törlés helyetti állapotjelzés – a csapat a valós Excel mintaállományok (a 261-es és a 262-es leltárkörzet adatai) szerkezetének elemzésével pontosította. Az így kialakított, véglegesített entitásokat és kapcsolataikat az alábbi táblázat foglalja össze.</w:t>
      </w:r>
    </w:p>
    <w:tbl>
      <w:tblPr>
        <w:tblW w:w="8503" w:type="dxa"/>
        <w:jc w:val="center"/>
        <w:tblInd w:w="0" w:type="dxa"/>
        <w:tblLayout w:type="fixed"/>
        <w:tblCellMar>
          <w:top w:w="60" w:type="dxa"/>
          <w:start w:w="100" w:type="dxa"/>
          <w:bottom w:w="60" w:type="dxa"/>
          <w:end w:w="100" w:type="dxa"/>
        </w:tblCellMar>
      </w:tblPr>
      <w:tblGrid>
        <w:gridCol w:w="1649"/>
        <w:gridCol w:w="3451"/>
        <w:gridCol w:w="3403"/>
      </w:tblGrid>
      <w:tr>
        <w:trPr>
          <w:tblHeader w:val="true"/>
          <w:cantSplit/>
        </w:trPr>
        <w:tc>
          <w:tcPr>
            <w:tcW w:w="164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Entitás</w:t>
            </w:r>
          </w:p>
        </w:tc>
        <w:tc>
          <w:tcPr>
            <w:tcW w:w="3451"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Fő mezők</w:t>
            </w:r>
          </w:p>
        </w:tc>
        <w:tc>
          <w:tcPr>
            <w:tcW w:w="3403"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Kapcsolat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 (Eszköz)</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SourceId, Name, ExpectedQuantity, Status, StatusChangedAt</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AssetType, N:1 InventoryZone; 1:N AssetCode, Accessory,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AssetCode (Eszközkód)</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CodeValue, CodeType, IsPrimary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Accessory (Kiegészítő)</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 Quantity, SubNumber, VerifiedDirectly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AssetType (Eszköztípus)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InventoryZone (Leltárkörzet)</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Code, 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 Room, InventoryPeriod</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 (Helyiség)</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RoomNumber</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InventoryPeriod (Leltári időszak)</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StartDate, EndDate, Status</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InventoryZone; 1:N Scan</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Scan (Leolvasás)</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Timestamp, ScannedQuantity</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N:1 Asset, Room, InventoryPeriod, InventoryZone, User</w:t>
            </w:r>
          </w:p>
        </w:tc>
      </w:tr>
      <w:tr>
        <w:trPr>
          <w:cantSplit/>
        </w:trPr>
        <w:tc>
          <w:tcPr>
            <w:tcW w:w="164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ResponsiblePerson (Felelős személy)</w:t>
            </w:r>
          </w:p>
        </w:tc>
        <w:tc>
          <w:tcPr>
            <w:tcW w:w="3451"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Name</w:t>
            </w:r>
          </w:p>
        </w:tc>
        <w:tc>
          <w:tcPr>
            <w:tcW w:w="3403"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1:N Asset</w:t>
            </w:r>
          </w:p>
        </w:tc>
      </w:tr>
      <w:tr>
        <w:tc>
          <w:tcPr>
            <w:tcW w:type="dxa" w:w="1649"/>
          </w:tcPr>
          <w:p>
            <w:pPr>
              <w:pStyle w:val="Tblzattartalomuser"/>
              <w:ind w:hanging="0" w:start="0"/>
            </w:pPr>
            <w:r>
              <w:t>User (Felhasználó)</w:t>
            </w:r>
          </w:p>
        </w:tc>
        <w:tc>
          <w:tcPr>
            <w:tcW w:type="dxa" w:w="3451"/>
          </w:tcPr>
          <w:p>
            <w:pPr>
              <w:pStyle w:val="Tblzattartalomuser"/>
              <w:ind w:hanging="0" w:start="0"/>
            </w:pPr>
            <w:r>
              <w:t>Username, PasswordHash, DisplayName, Role, IsActive</w:t>
            </w:r>
          </w:p>
        </w:tc>
        <w:tc>
          <w:tcPr>
            <w:tcW w:type="dxa" w:w="3403"/>
          </w:tcPr>
          <w:p>
            <w:pPr>
              <w:pStyle w:val="Tblzattartalomuser"/>
              <w:ind w:hanging="0" w:start="0"/>
            </w:pPr>
            <w:r>
              <w:t>N:1 ResponsiblePerson (opcionális); 1:N Scan</w:t>
            </w:r>
          </w:p>
        </w:tc>
      </w:tr>
    </w:tbl>
    <w:p>
      <w:pPr>
        <w:pStyle w:val="Normal"/>
        <w:spacing w:before="120" w:after="240"/>
        <w:ind w:hanging="0"/>
        <w:jc w:val="center"/>
        <w:rPr/>
      </w:pPr>
      <w:r>
        <w:rPr>
          <w:i/>
          <w:sz w:val="20"/>
        </w:rPr>
        <w:t>1. táblázat: a pontosított adatmodell entitásai és kapcsolataik</w:t>
      </w:r>
    </w:p>
    <w:p>
      <w:pPr>
        <w:pStyle w:val="Normal"/>
        <w:rPr/>
      </w:pPr>
      <w:r>
        <w:rPr/>
        <w:t>Az Accessory entitás VerifiedDirectly mezője valósítja meg az 1.5. alfejezetben említett megkülönböztetést: jelzi, hogy egy kiegészítő meglétét ténylegesen ellenőrizték-e egy önálló leolvasással, vagy csak a főeszköz beolvasása alapján tekintik megtaláltnak. A Scan entitás az egyes leolvasásokat a beolvasott leltárkörzettel, helyiséggel és leltári időszakkal is összeköti, így egy adott beolvasásról utólag is megállapítható, hogy a beolvasáskor kiválasztott körzethez és helyiséghez képest hol és mikor történt.</w:t>
      </w:r>
    </w:p>
    <w:p>
      <w:pPr>
        <w:pStyle w:val="Heading2"/>
        <w:numPr>
          <w:ilvl w:val="0"/>
          <w:numId w:val="0"/>
        </w:numPr>
        <w:ind w:hanging="0" w:start="0"/>
        <w:rPr/>
      </w:pPr>
      <w:bookmarkStart w:id="17" w:name="__RefHeading___Toc1218_3801294825"/>
      <w:bookmarkEnd w:id="17"/>
      <w:r>
        <w:rPr/>
        <w:t>2.2. Kibővített feltételezések</w:t>
      </w:r>
    </w:p>
    <w:p>
      <w:pPr>
        <w:pStyle w:val="Firstparagraph"/>
        <w:rPr/>
      </w:pPr>
      <w:r>
        <w:rPr/>
        <w:t>Az 1.3. alfejezetben rögzített általános feltételezések (a vonalkódolvasó billentyűzetként való kezelése, a leltárkörzet nyitott/lezárt állapota, az adminisztrátor általi fiókkezelés stb.) változatlanul érvényesek. A valós Excel állományok elemzése azonban több, kifejezetten az importálás logikájához kötődő feltételezést tett szükségessé:</w:t>
      </w:r>
    </w:p>
    <w:p>
      <w:pPr>
        <w:pStyle w:val="ListParagraph"/>
        <w:numPr>
          <w:ilvl w:val="0"/>
          <w:numId w:val="3"/>
        </w:numPr>
        <w:rPr/>
      </w:pPr>
      <w:r>
        <w:rPr/>
        <w:t>az importált forrásfájlban az üres fő mezőjű, csak pénzügyi adatot tartalmazó sorok technikai összegző sorok, ezeket az import kihagyja;</w:t>
      </w:r>
    </w:p>
    <w:p>
      <w:pPr>
        <w:pStyle w:val="ListParagraph"/>
        <w:numPr>
          <w:ilvl w:val="0"/>
          <w:numId w:val="3"/>
        </w:numPr>
        <w:rPr/>
      </w:pPr>
      <w:r>
        <w:rPr/>
        <w:t>a leltári szám az elsődleges azonosító kód, amellyel a leltározó ténylegesen szkennel; a további kódok (eredeti eszközszám, adóhivatali hivatkozás) kiegészítő azonosítóként kerülnek tárolásra;</w:t>
      </w:r>
    </w:p>
    <w:p>
      <w:pPr>
        <w:pStyle w:val="ListParagraph"/>
        <w:numPr>
          <w:ilvl w:val="0"/>
          <w:numId w:val="3"/>
        </w:numPr>
        <w:rPr/>
      </w:pPr>
      <w:r>
        <w:rPr/>
        <w:t>az Excel-sorok közötti al-tételek (alszám &gt; 0) minden esetben kiegészítőként kerülnek importálásra, a főeszközhöz kapcsolva;</w:t>
      </w:r>
    </w:p>
    <w:p>
      <w:pPr>
        <w:pStyle w:val="ListParagraph"/>
        <w:numPr>
          <w:ilvl w:val="0"/>
          <w:numId w:val="3"/>
        </w:numPr>
        <w:rPr/>
      </w:pPr>
      <w:r>
        <w:rPr/>
        <w:t>a pénzügyi mezők (beszerzési érték, nettó érték) bekerülnek az eszköz törzsadatába, de nem képezik a leltározási logika részét;</w:t>
      </w:r>
    </w:p>
    <w:p>
      <w:pPr>
        <w:pStyle w:val="ListParagraph"/>
        <w:numPr>
          <w:ilvl w:val="0"/>
          <w:numId w:val="3"/>
        </w:numPr>
        <w:rPr/>
      </w:pPr>
      <w:r>
        <w:rPr/>
        <w:t>az eszköztípusok importáláskor automatikusan, az eszköz megnevezése alapján jönnek létre, elírás-javítás nélkül; a duplikátumokat (pl. elgépelt típusneveket) az adminisztrátor vonja össze utólag;</w:t>
      </w:r>
    </w:p>
    <w:p>
      <w:pPr>
        <w:pStyle w:val="ListParagraph"/>
        <w:numPr>
          <w:ilvl w:val="0"/>
          <w:numId w:val="3"/>
        </w:numPr>
        <w:rPr/>
      </w:pPr>
      <w:r>
        <w:rPr/>
        <w:t>a telephely mező értéke feleltethető meg a leltárkörzetnek;</w:t>
      </w:r>
    </w:p>
    <w:p>
      <w:pPr>
        <w:pStyle w:val="ListParagraph"/>
        <w:numPr>
          <w:ilvl w:val="0"/>
          <w:numId w:val="3"/>
        </w:numPr>
        <w:rPr/>
      </w:pPr>
      <w:r>
        <w:rPr/>
        <w:t>a gyártási szám mező tartalmának megbízhatósága vegyes, ezért egy rövid tiltólistával szűrjük ki a nyilvánvalóan nem valódi értékeket.</w:t>
      </w:r>
    </w:p>
    <w:p>
      <w:pPr>
        <w:pStyle w:val="Heading2"/>
        <w:numPr>
          <w:ilvl w:val="0"/>
          <w:numId w:val="0"/>
        </w:numPr>
        <w:ind w:hanging="0" w:start="0"/>
        <w:rPr/>
      </w:pPr>
      <w:bookmarkStart w:id="18" w:name="__RefHeading___Toc1220_3801294825"/>
      <w:bookmarkEnd w:id="18"/>
      <w:r>
        <w:rPr/>
        <w:t>2.3. A technológiai megvalósítás pontosítása</w:t>
      </w:r>
    </w:p>
    <w:p>
      <w:pPr>
        <w:pStyle w:val="Firstparagraph"/>
        <w:rPr/>
      </w:pPr>
      <w:r>
        <w:rPr/>
        <w:t>Az 1.8. alfejezetben ismertetett technológiai döntések az első fejlesztési szakaszban az alábbiak szerint pontosultak:</w:t>
      </w:r>
    </w:p>
    <w:tbl>
      <w:tblPr>
        <w:tblW w:w="8503" w:type="dxa"/>
        <w:jc w:val="center"/>
        <w:tblInd w:w="0" w:type="dxa"/>
        <w:tblLayout w:type="fixed"/>
        <w:tblCellMar>
          <w:top w:w="60" w:type="dxa"/>
          <w:start w:w="100" w:type="dxa"/>
          <w:bottom w:w="60" w:type="dxa"/>
          <w:end w:w="100" w:type="dxa"/>
        </w:tblCellMar>
      </w:tblPr>
      <w:tblGrid>
        <w:gridCol w:w="2199"/>
        <w:gridCol w:w="2600"/>
        <w:gridCol w:w="37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Komponens</w:t>
            </w:r>
          </w:p>
        </w:tc>
        <w:tc>
          <w:tcPr>
            <w:tcW w:w="2600"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Technológia</w:t>
            </w:r>
          </w:p>
        </w:tc>
        <w:tc>
          <w:tcPr>
            <w:tcW w:w="37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kliens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.NET MAUI (asztali GUI)</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felhasználói felület, szerepkör szerinti navigáció, szerveroldali szolgáltatások hívása</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Web API</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ASP.NET Core, réteges felépítés</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üzleti logika, jogosultság-ellenőrzés, adatbázis-elérés Entity Framework Core-on keresztül</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Adatbázis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SQLite (fejlesztés alatt, EF Core miatt cserélhető)</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tartós adattárolás</w:t>
            </w:r>
          </w:p>
        </w:tc>
      </w:tr>
    </w:tbl>
    <w:p>
      <w:pPr>
        <w:pStyle w:val="Normal"/>
        <w:spacing w:before="120" w:after="240"/>
        <w:ind w:hanging="0"/>
        <w:jc w:val="center"/>
        <w:rPr/>
      </w:pPr>
      <w:r>
        <w:rPr>
          <w:i/>
          <w:sz w:val="20"/>
        </w:rPr>
        <w:t>2. táblázat: a rendszer komponensei, technológiái és feladataik</w:t>
      </w:r>
    </w:p>
    <w:p>
      <w:pPr>
        <w:pStyle w:val="Normal"/>
        <w:rPr/>
      </w:pPr>
      <w:r>
        <w:rPr/>
        <w:t>A fejlesztési fázisban az adatbázis SQLite, mivel telepítés nélkül használható és gyorsítja az iterációt; mivel a hozzáférés Entity Framework Core-on keresztül történik, éles környezetben a motor jelentősebb kódmódosítás nélkül lecserélhető egy szerver alapú relációs adatbázisra. A kommunikáció – az 1.7. alfejezetben leírtaknak megfelelően – REST alapú, HTTPS protokollon, JSON üzenetekkel, JWT alapú, a szerepkört is tartalmazó hitelesítéssel valósul meg. A verziókezelés Git, feature branch alapú munkafolyamattal.</w:t>
      </w:r>
    </w:p>
    <w:p>
      <w:pPr>
        <w:pStyle w:val="Heading2"/>
        <w:numPr>
          <w:ilvl w:val="0"/>
          <w:numId w:val="0"/>
        </w:numPr>
        <w:ind w:hanging="0" w:start="0"/>
        <w:rPr/>
      </w:pPr>
      <w:bookmarkStart w:id="19" w:name="__RefHeading___Toc1222_3801294825"/>
      <w:bookmarkEnd w:id="19"/>
      <w:r>
        <w:rPr/>
        <w:t>2.4. Fontosabb implementációs döntések és az eddig elkészült rész</w:t>
      </w:r>
    </w:p>
    <w:p>
      <w:pPr>
        <w:pStyle w:val="Firstparagraph"/>
        <w:rPr/>
      </w:pPr>
      <w:r>
        <w:rPr/>
        <w:t>A harmadik konzultációs alkalomra – az eredeti ütemtervhez képest előrébb tartva – elkészült és valós adaton tesztelve van a szerveroldal alapja. Az alábbi elemek már működnek:</w:t>
      </w:r>
    </w:p>
    <w:p>
      <w:pPr>
        <w:pStyle w:val="ListParagraph"/>
        <w:numPr>
          <w:ilvl w:val="0"/>
          <w:numId w:val="3"/>
        </w:numPr>
        <w:rPr/>
      </w:pPr>
      <w:r>
        <w:rPr/>
        <w:t>a teljes Entity Framework Core adatmodell és az adatbázis-kapcsolat (SQLite);</w:t>
      </w:r>
    </w:p>
    <w:p>
      <w:pPr>
        <w:pStyle w:val="ListParagraph"/>
        <w:numPr>
          <w:ilvl w:val="0"/>
          <w:numId w:val="3"/>
        </w:numPr>
        <w:rPr/>
      </w:pPr>
      <w:r>
        <w:rPr/>
        <w:t>az Excel-import szolgáltatás, mindkét mintafájllal (261-es és 262-es lista) tesztelve;</w:t>
      </w:r>
    </w:p>
    <w:p>
      <w:pPr>
        <w:pStyle w:val="ListParagraph"/>
        <w:numPr>
          <w:ilvl w:val="0"/>
          <w:numId w:val="3"/>
        </w:numPr>
        <w:rPr/>
      </w:pPr>
      <w:r>
        <w:rPr/>
        <w:t>API végpontok: eszközök listázása, egy eszköz lekérdezése, keresés leltári szám alapján, import indítása;</w:t>
      </w:r>
    </w:p>
    <w:p>
      <w:pPr>
        <w:pStyle w:val="ListParagraph"/>
        <w:numPr>
          <w:ilvl w:val="0"/>
          <w:numId w:val="3"/>
        </w:numPr>
        <w:rPr/>
      </w:pPr>
      <w:r>
        <w:rPr/>
        <w:t>a kiegészítők (al-tételek) mentése és lekérdezése – igazoltan, valós adaton működik.</w:t>
      </w:r>
    </w:p>
    <w:p>
      <w:pPr>
        <w:pStyle w:val="ListParagraph"/>
        <w:numPr>
          <w:ilvl w:val="0"/>
          <w:numId w:val="3"/>
        </w:numPr>
      </w:pPr>
      <w:r>
        <w:t>elkészült egy .NET MAUI kliensprojekt, amely a szerverrel közös repositoryban helyezkedik el;</w:t>
      </w:r>
    </w:p>
    <w:p>
      <w:pPr>
        <w:pStyle w:val="ListParagraph"/>
        <w:numPr>
          <w:ilvl w:val="0"/>
          <w:numId w:val="3"/>
        </w:numPr>
      </w:pPr>
      <w:r>
        <w:t>a kliens Bejelentkezés (Login) és Szkennelés (Scan) képernyője közötti alap navigáció működik;</w:t>
      </w:r>
    </w:p>
    <w:p>
      <w:pPr>
        <w:pStyle w:val="ListParagraph"/>
        <w:numPr>
          <w:ilvl w:val="0"/>
          <w:numId w:val="3"/>
        </w:numPr>
      </w:pPr>
      <w:r>
        <w:t>a kliens ténylegesen, HTTP-n keresztül lekéri és megjeleníti a szerverről az importált eszközöket, ezzel igazolva a kliens–szerver kommunikáció valós működését.</w:t>
      </w:r>
    </w:p>
    <w:p>
      <w:pPr>
        <w:pStyle w:val="Normal"/>
        <w:rPr/>
      </w:pPr>
      <w:r>
        <w:rPr/>
        <w:t>A legfontosabb implementációs döntés, hogy az importálás nem egy egyszeri, kézi lépés, hanem egy önálló, újra futtatható szolgáltatás: ez lehetővé teszi, hogy egy hibásan importált vagy időközben frissült forrásfájl esetén az import biztonságosan megismételhető legyen anélkül, hogy a már rögzített leltározási eredmények elveszennének.</w:t>
      </w:r>
    </w:p>
    <w:p>
      <w:pPr>
        <w:pStyle w:val="Heading2"/>
        <w:numPr>
          <w:ilvl w:val="0"/>
          <w:numId w:val="0"/>
        </w:numPr>
        <w:ind w:hanging="0" w:start="0"/>
        <w:rPr/>
      </w:pPr>
      <w:bookmarkStart w:id="20" w:name="__RefHeading___Toc1224_3801294825"/>
      <w:bookmarkEnd w:id="20"/>
      <w:r>
        <w:rPr/>
        <w:t>2.5. Szerepkörök és a leltározási munkamenet</w:t>
      </w:r>
    </w:p>
    <w:p>
      <w:pPr>
        <w:pStyle w:val="Firstparagraph"/>
        <w:rPr/>
      </w:pPr>
      <w:r>
        <w:rPr/>
        <w:t>A rendszerben három szerepkör került kialakításra; egy felhasználó pontosan egy szerepkörhöz tartozik, fiókot pedig kizárólag adminisztrátor hozhat létre.</w:t>
      </w:r>
    </w:p>
    <w:tbl>
      <w:tblPr>
        <w:tblW w:w="8503" w:type="dxa"/>
        <w:jc w:val="center"/>
        <w:tblInd w:w="0" w:type="dxa"/>
        <w:tblLayout w:type="fixed"/>
        <w:tblCellMar>
          <w:top w:w="60" w:type="dxa"/>
          <w:start w:w="100" w:type="dxa"/>
          <w:bottom w:w="60" w:type="dxa"/>
          <w:end w:w="100" w:type="dxa"/>
        </w:tblCellMar>
      </w:tblPr>
      <w:tblGrid>
        <w:gridCol w:w="1999"/>
        <w:gridCol w:w="6504"/>
      </w:tblGrid>
      <w:tr>
        <w:trPr>
          <w:tblHeader w:val="true"/>
          <w:cantSplit/>
        </w:trPr>
        <w:tc>
          <w:tcPr>
            <w:tcW w:w="19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Szerepkör</w:t>
            </w:r>
          </w:p>
        </w:tc>
        <w:tc>
          <w:tcPr>
            <w:tcW w:w="65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Feladata</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Leltározó</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tényleges leltározás elvégzése a helyszínen</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Kiértékelő</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leltározás eredményeinek utólagos áttekintése, elemzése</w:t>
            </w:r>
          </w:p>
        </w:tc>
      </w:tr>
      <w:tr>
        <w:trPr>
          <w:cantSplit/>
        </w:trPr>
        <w:tc>
          <w:tcPr>
            <w:tcW w:w="19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Adminisztrátor</w:t>
            </w:r>
          </w:p>
        </w:tc>
        <w:tc>
          <w:tcPr>
            <w:tcW w:w="65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rendszer törzsadatainak (eszközök, típusok, körzetek, felhasználók) karbantartása</w:t>
            </w:r>
          </w:p>
        </w:tc>
      </w:tr>
    </w:tbl>
    <w:p>
      <w:pPr>
        <w:pStyle w:val="Normal"/>
        <w:spacing w:before="120" w:after="240"/>
        <w:ind w:hanging="0"/>
        <w:jc w:val="center"/>
        <w:rPr/>
      </w:pPr>
      <w:r>
        <w:rPr>
          <w:i/>
          <w:sz w:val="20"/>
        </w:rPr>
        <w:t>3. táblázat: a rendszer szerepkörei</w:t>
      </w:r>
    </w:p>
    <w:p>
      <w:pPr>
        <w:pStyle w:val="Normal"/>
        <w:rPr/>
      </w:pPr>
      <w:r>
        <w:rPr/>
        <w:t>A leltározó szerepkörhöz tartozó munkamenet lépései a következők:</w:t>
      </w:r>
    </w:p>
    <w:p>
      <w:pPr>
        <w:pStyle w:val="Normal"/>
        <w:ind w:hanging="0"/>
        <w:rPr/>
      </w:pPr>
      <w:r>
        <w:rPr>
          <w:b/>
        </w:rPr>
        <w:t xml:space="preserve">1. Bejelentkezés — </w:t>
      </w:r>
      <w:r>
        <w:rPr/>
        <w:t>a rendszer a szerepkör alapján irányítja a felhasználót</w:t>
      </w:r>
    </w:p>
    <w:p>
      <w:pPr>
        <w:pStyle w:val="Normal"/>
        <w:ind w:hanging="0"/>
        <w:rPr/>
      </w:pPr>
      <w:r>
        <w:rPr>
          <w:b/>
        </w:rPr>
        <w:t>2. Leltárkörzet és helyiség kiválasztása</w:t>
      </w:r>
    </w:p>
    <w:p>
      <w:pPr>
        <w:pStyle w:val="Normal"/>
        <w:ind w:hanging="0"/>
        <w:rPr/>
      </w:pPr>
      <w:r>
        <w:rPr>
          <w:b/>
        </w:rPr>
        <w:t xml:space="preserve">3. Kód beolvasása (ismételve) — </w:t>
      </w:r>
      <w:r>
        <w:rPr/>
        <w:t>minden beolvasás után azonnali visszajelzés érkezik</w:t>
      </w:r>
    </w:p>
    <w:p>
      <w:pPr>
        <w:pStyle w:val="Normal"/>
        <w:ind w:hanging="0"/>
        <w:rPr/>
      </w:pPr>
      <w:r>
        <w:rPr>
          <w:b/>
        </w:rPr>
        <w:t xml:space="preserve">4. Haladás követése — </w:t>
      </w:r>
      <w:r>
        <w:rPr/>
        <w:t>elvárt és beolvasott mennyiség összevetése</w:t>
      </w:r>
    </w:p>
    <w:p>
      <w:pPr>
        <w:pStyle w:val="Normal"/>
        <w:ind w:hanging="0"/>
        <w:rPr/>
      </w:pPr>
      <w:r>
        <w:rPr>
          <w:b/>
        </w:rPr>
        <w:t>5. Továbblépés vagy lezárás</w:t>
      </w:r>
    </w:p>
    <w:p>
      <w:pPr>
        <w:pStyle w:val="Normal"/>
        <w:rPr/>
      </w:pPr>
      <w:r>
        <w:rPr/>
        <w:t>Egy beolvasás kimenetét az alábbi döntési logika szerint kezeli a rendszer:</w:t>
      </w:r>
    </w:p>
    <w:tbl>
      <w:tblPr>
        <w:tblW w:w="8503" w:type="dxa"/>
        <w:jc w:val="center"/>
        <w:tblInd w:w="0" w:type="dxa"/>
        <w:tblLayout w:type="fixed"/>
        <w:tblCellMar>
          <w:top w:w="60" w:type="dxa"/>
          <w:start w:w="100" w:type="dxa"/>
          <w:bottom w:w="60" w:type="dxa"/>
          <w:end w:w="100" w:type="dxa"/>
        </w:tblCellMar>
      </w:tblPr>
      <w:tblGrid>
        <w:gridCol w:w="2199"/>
        <w:gridCol w:w="63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Kimenet</w:t>
            </w:r>
          </w:p>
        </w:tc>
        <w:tc>
          <w:tcPr>
            <w:tcW w:w="63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Történés</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Saját körzet, rendben</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leolvasás rekord elmentődik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Más körzetből érkezett</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elmentődik, de megjelölve, hogy más leltárkörzetből származik</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Ismeretlen kód</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nem mentődik semmi – csak hibaüzenet jelenik meg</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Mennyiségi eltérés</w:t>
            </w:r>
          </w:p>
        </w:tc>
        <w:tc>
          <w:tcPr>
            <w:tcW w:w="63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beolvasott és elvárt mennyiség közti eltérés jelezve lesz</w:t>
            </w:r>
          </w:p>
        </w:tc>
      </w:tr>
    </w:tbl>
    <w:p>
      <w:pPr>
        <w:pStyle w:val="Normal"/>
        <w:spacing w:before="120" w:after="240"/>
        <w:ind w:hanging="0"/>
        <w:jc w:val="center"/>
        <w:rPr/>
      </w:pPr>
      <w:r>
        <w:rPr>
          <w:i/>
          <w:sz w:val="20"/>
        </w:rPr>
        <w:t>4. táblázat: a leolvasás döntési logikája</w:t>
      </w:r>
    </w:p>
    <w:p>
      <w:pPr>
        <w:pStyle w:val="Heading2"/>
        <w:numPr>
          <w:ilvl w:val="0"/>
          <w:numId w:val="0"/>
        </w:numPr>
        <w:ind w:hanging="0" w:start="0"/>
        <w:rPr/>
      </w:pPr>
      <w:bookmarkStart w:id="21" w:name="__RefHeading___Toc1226_3801294825"/>
      <w:bookmarkEnd w:id="21"/>
      <w:r>
        <w:rPr/>
        <w:t>2.6. A grafikus felhasználói felület első vázlatai</w:t>
      </w:r>
    </w:p>
    <w:p>
      <w:pPr>
        <w:pStyle w:val="Firstparagraph"/>
        <w:rPr/>
      </w:pPr>
      <w:r>
        <w:rPr/>
        <w:t>Az 1.9. alfejezetben ismertetett, szerepkör szerinti felületfelosztás alapján elkészült egy induló, telefon méretű (390×844 képpont) UI-vázlat a négy fő képernyőről:</w:t>
      </w:r>
    </w:p>
    <w:p>
      <w:pPr>
        <w:pStyle w:val="ListParagraph"/>
        <w:numPr>
          <w:ilvl w:val="0"/>
          <w:numId w:val="3"/>
        </w:numPr>
        <w:rPr/>
      </w:pPr>
      <w:r>
        <w:rPr/>
        <w:t>Bejelentkezés</w:t>
      </w:r>
    </w:p>
    <w:p>
      <w:pPr>
        <w:pStyle w:val="ListParagraph"/>
        <w:numPr>
          <w:ilvl w:val="0"/>
          <w:numId w:val="3"/>
        </w:numPr>
        <w:rPr/>
      </w:pPr>
      <w:r>
        <w:rPr/>
        <w:t>Leltározó – Szkennelés</w:t>
      </w:r>
    </w:p>
    <w:p>
      <w:pPr>
        <w:pStyle w:val="ListParagraph"/>
        <w:numPr>
          <w:ilvl w:val="0"/>
          <w:numId w:val="3"/>
        </w:numPr>
        <w:rPr/>
      </w:pPr>
      <w:r>
        <w:rPr/>
        <w:t>Kiértékelő – Áttekintés</w:t>
      </w:r>
    </w:p>
    <w:p>
      <w:pPr>
        <w:pStyle w:val="ListParagraph"/>
        <w:numPr>
          <w:ilvl w:val="0"/>
          <w:numId w:val="3"/>
        </w:numPr>
        <w:rPr/>
      </w:pPr>
      <w:r>
        <w:rPr/>
        <w:t>Adminisztrátor – Eszközök</w:t>
      </w:r>
    </w:p>
    <w:p>
      <w:pPr>
        <w:pStyle w:val="Normal"/>
        <w:rPr/>
      </w:pPr>
      <w:r>
        <w:rPr/>
        <w:t>A vázlatok célja a képernyők közötti navigáció és az egyes szerepkörökhöz tartozó információk elrendezésének kipróbálása, mielőtt a tényleges MAUI kliens fejlesztése megkezdődik. A vázlatok jelenleg statikusak, funkcionalitást még nem tartalmaznak.</w:t>
      </w:r>
    </w:p>
    <w:p>
      <w:pPr>
        <w:pStyle w:val="Heading2"/>
        <w:numPr>
          <w:ilvl w:val="0"/>
          <w:numId w:val="0"/>
        </w:numPr>
        <w:ind w:hanging="0" w:start="0"/>
        <w:rPr/>
      </w:pPr>
      <w:bookmarkStart w:id="22" w:name="__RefHeading___Toc1228_3801294825"/>
      <w:bookmarkEnd w:id="22"/>
      <w:r>
        <w:rPr/>
        <w:t>2.7. Kötelező saját kiegészítő funkció: valós idejű frissítés</w:t>
      </w:r>
    </w:p>
    <w:p>
      <w:pPr>
        <w:pStyle w:val="Firstparagraph"/>
        <w:rPr/>
      </w:pPr>
      <w:r>
        <w:rPr/>
        <w:t>A csapat saját kiegészítő funkcióként a leltározási eredmények valós idejű frissítését javasolja: ha az egyik eszközön (telefonon) valaki felvisz egy leolvasást, az a leltárkörzetet éppen néző többi eszközön – más leltározóknál, illetve a kiértékelőnél – azonnal, frissítés nélkül megjelenjen.</w:t>
      </w:r>
    </w:p>
    <w:p>
      <w:pPr>
        <w:pStyle w:val="Normal"/>
        <w:rPr/>
      </w:pPr>
      <w:r>
        <w:rPr/>
        <w:t>A funkció indoklása a következő:</w:t>
      </w:r>
    </w:p>
    <w:p>
      <w:pPr>
        <w:pStyle w:val="ListParagraph"/>
        <w:numPr>
          <w:ilvl w:val="0"/>
          <w:numId w:val="3"/>
        </w:numPr>
        <w:rPr/>
      </w:pPr>
      <w:r>
        <w:rPr/>
        <w:t>több leltározó dolgozhat egyszerre ugyanabban a leltárkörzetben, más-más helyiségben – enélkül könnyen előfordul felesleges, duplikált munka;</w:t>
      </w:r>
    </w:p>
    <w:p>
      <w:pPr>
        <w:pStyle w:val="ListParagraph"/>
        <w:numPr>
          <w:ilvl w:val="0"/>
          <w:numId w:val="3"/>
        </w:numPr>
        <w:rPr/>
      </w:pPr>
      <w:r>
        <w:rPr/>
        <w:t>a kiértékelő élőben látná a leltár előrehaladását, kézi frissítés nélkül;</w:t>
      </w:r>
    </w:p>
    <w:p>
      <w:pPr>
        <w:pStyle w:val="ListParagraph"/>
        <w:numPr>
          <w:ilvl w:val="0"/>
          <w:numId w:val="3"/>
        </w:numPr>
        <w:rPr/>
      </w:pPr>
      <w:r>
        <w:rPr/>
        <w:t>a funkció valódi architekturális és technikai munkát igényel, nem csupán egy felületi elem hozzáadását.</w:t>
      </w:r>
    </w:p>
    <w:p>
      <w:pPr>
        <w:pStyle w:val="Normal"/>
        <w:rPr/>
      </w:pPr>
      <w:r>
        <w:rPr/>
        <w:t>A tervezett megvalósítás egy ASP.NET Core SignalR hub bevezetése a REST API mellé. Amikor egy leolvasás sikeresen elmentődik, a szerver eseményt küld (broadcast) minden olyan kliensnek, amely ugyanazt a leltárkörzetet nézi; a MAUI kliens erre feliratkozva frissíti a saját nézetét.</w:t>
      </w:r>
    </w:p>
    <w:p>
      <w:pPr>
        <w:pStyle w:val="Normal"/>
        <w:rPr/>
      </w:pPr>
      <w:r>
        <w:rPr>
          <w:i/>
        </w:rPr>
        <w:t>Nyitott döntési pontok: pontosan mi frissül élőben (csak az érintett körzet, vagy globálisan); kapnak-e a kiértékelők is élő értesítést; mi történik hálózat-megszakadás esetén – ez összhangban van a korábbi, offline módot kizáró feltételezéssel.</w:t>
      </w:r>
    </w:p>
    <w:p>
      <w:pPr>
        <w:pStyle w:val="Heading2"/>
        <w:numPr>
          <w:ilvl w:val="0"/>
          <w:numId w:val="0"/>
        </w:numPr>
        <w:ind w:hanging="0" w:start="0"/>
        <w:rPr/>
      </w:pPr>
      <w:bookmarkStart w:id="23" w:name="__RefHeading___Toc1230_3801294825"/>
      <w:bookmarkEnd w:id="23"/>
      <w:r>
        <w:rPr/>
        <w:t>2.8. További tervek a következő konzultációs alkalomra</w:t>
      </w:r>
    </w:p>
    <w:p>
      <w:pPr>
        <w:pStyle w:val="Firstparagraph"/>
        <w:rPr/>
      </w:pPr>
      <w:r>
        <w:rPr/>
        <w:t>A negyedik konzultációs alkalomra tervezett proof of concept legfontosabb eleme – a működő kliens–szerver kommunikáció – a 2.4. alfejezetben leírtak szerint már elkészült. Az alábbi lépések a következő alkalomra még hátravannak:</w:t>
      </w:r>
    </w:p>
    <w:p>
      <w:pPr>
        <w:pStyle w:val="Normal"/>
        <w:ind w:hanging="0"/>
        <w:rPr/>
      </w:pPr>
      <w:r>
        <w:rPr>
          <w:b/>
        </w:rPr>
        <w:t xml:space="preserve">1. Leltárkörzet és helyiség kiválasztó képernyő — </w:t>
      </w:r>
      <w:r>
        <w:rPr/>
        <w:t>a bejelentkezés és a szkennelés között, a 2.6. alfejezetben bemutatott UI-vázlat alapján.</w:t>
      </w:r>
    </w:p>
    <w:p>
      <w:pPr>
        <w:pStyle w:val="Normal"/>
        <w:ind w:hanging="0"/>
        <w:rPr/>
      </w:pPr>
      <w:r>
        <w:rPr>
          <w:b/>
        </w:rPr>
        <w:t xml:space="preserve">2. A leolvasás mentése a szerveren — </w:t>
      </w:r>
      <w:r>
        <w:rPr/>
        <w:t>egy POST /api/scans végpont megvalósítása, amely a 2.5. alfejezetben ismertetett döntési logikát alkalmazza.</w:t>
      </w:r>
    </w:p>
    <w:p>
      <w:pPr>
        <w:pStyle w:val="Normal"/>
        <w:ind w:hanging="0"/>
        <w:rPr/>
      </w:pPr>
      <w:r>
        <w:rPr>
          <w:b/>
        </w:rPr>
        <w:t xml:space="preserve">3. A döntési logika bekötése a kliensen — </w:t>
      </w:r>
      <w:r>
        <w:rPr/>
        <w:t>a Szkennelés képernyő ténylegesen jelezze a négyféle kimenetet (saját körzet, más körzet, ismeretlen kód, mennyiségi eltérés).</w:t>
      </w:r>
    </w:p>
    <w:p>
      <w:pPr>
        <w:pStyle w:val="Normal"/>
        <w:ind w:hanging="0"/>
        <w:rPr/>
      </w:pPr>
      <w:r>
        <w:rPr>
          <w:b/>
        </w:rPr>
        <w:t xml:space="preserve">4. A hitelesítés bekötése — </w:t>
      </w:r>
      <w:r>
        <w:rPr/>
        <w:t>a 2.9. alfejezetben ismertetett User entitásra épülő bejelentkezés és JWT-alapú jogosultságkezelés megvalósítása.</w:t>
      </w:r>
    </w:p>
    <w:p>
      <w:pPr>
        <w:pStyle w:val="Normal"/>
        <w:ind w:hanging="0"/>
        <w:rPr/>
      </w:pPr>
      <w:r>
        <w:rPr>
          <w:b/>
        </w:rPr>
        <w:t xml:space="preserve">Megjegyzés a CORS-ról — </w:t>
      </w:r>
      <w:r>
        <w:rPr/>
        <w:t>a korábban tervezett CORS-engedélyezésre a gyakorlatban nem volt szükség, mivel a MAUI Windows-kliens natív HTTP-kéréseket küld, amelyekre a böngésző-alapú CORS-mechanizmus nem vonatkozik.</w:t>
      </w:r>
    </w:p>
    <w:p>
      <w:pPr>
        <w:pStyle w:val="Heading2"/>
        <w:numPr>
          <w:ilvl w:val="0"/>
          <w:numId w:val="0"/>
        </w:numPr>
        <w:ind w:hanging="0" w:start="0"/>
      </w:pPr>
      <w:r>
        <w:t>2.9. Felhasználókezelés és a User entitás</w:t>
      </w:r>
    </w:p>
    <w:p>
      <w:pPr>
        <w:pStyle w:val="Firstparagraph"/>
      </w:pPr>
      <w:r>
        <w:t>A 2.4. alfejezetben ismertetett szerveroldali alaphoz egy User entitás is hozzáadásra került, amely a rendszerbe bejelentkező felhasználókat reprezentálja, és megalapozza a 2.5. alfejezetben bemutatott szerepkörök tényleges kikényszerítését.</w:t>
      </w:r>
    </w:p>
    <w:p>
      <w:pPr>
        <w:pStyle w:val="Normal"/>
      </w:pPr>
      <w:r>
        <w:t>Az entitás a felhasználónevet (Username, egyedi indexszel), a jelszó hash-elt formáját (PasswordHash), a megjelenítendő nevet (DisplayName), a szerepkört (Role, felsorolás típus: Leltarozo, Kiertekelo, Adminisztrator) és egy inaktiválásra szolgáló jelzőt (IsActive) tartalmaz. A jelszavak tárolása kizárólag hash-elt formában történik, a BCrypt.Net-Next könyvtár segítségével; ez a projekt méretéhez illő, egyszerűbb megoldás az ASP.NET Core Identity nagyobb, több konfigurációt igénylő rendszeréhez képest.</w:t>
      </w:r>
    </w:p>
    <w:p>
      <w:pPr>
        <w:pStyle w:val="Normal"/>
      </w:pPr>
      <w:r>
        <w:t>A User entitás bevezetését az indokolja, hogy a kiírás kifejezetten kerülendőnek tartja az olyan leegyszerűsített felhasználói modellt, amelyben a felhasználó gyakorlatilag csak egy felhasználónévből és egy jelszóból áll, amennyiben az alkalmazás jellegéből további adatok vagy funkciók is indokoltak – esetünkben ilyen a szerepkör és a megjelenítendő név, amely a Scan entitáshoz hozzáadott UserId mezővel együtt lehetővé teszi annak nyomon követését is, hogy egy adott leolvasást ki végzett.</w:t>
      </w:r>
    </w:p>
    <w:p>
      <w:pPr>
        <w:pStyle w:val="Normal"/>
      </w:pPr>
      <w:r>
        <w:t>A User és a ResponsiblePerson entitás kapcsolata opcionális: nem minden bejelentkező felhasználó felelős egyben eszközökért is, ezért a ResponsiblePersonId mező nullable.</w:t>
      </w:r>
    </w:p>
    <w:p>
      <w:pPr>
        <w:pStyle w:val="Cmsor1-szmozatlan"/>
        <w:ind w:hanging="357" w:start="357"/>
        <w:rPr/>
      </w:pPr>
      <w:r>
        <w:rPr/>
        <w:t>3. A forrásadatok kezelése és az eszközadatok megjelenítése</w:t>
      </w:r>
    </w:p>
    <w:p>
      <w:pPr>
        <w:pStyle w:val="Firstparagraph"/>
      </w:pPr>
      <w:r>
        <w:t>Jelen fejezet a Projektlabor ötödik konzultációs alkalmára elkészült munkát mutatja be. A fejlesztés középpontjában az állt, hogy a szerveroldalon már működő Excel-import és az adatbázisban tárolt eszközadatok a kliensből is elérhetők, kereshetők és szűrhetők legyenek. A munka külön ágon (5het) készült, a feature branch alapú munkafolyamatnak megfelelően.</w:t>
      </w:r>
    </w:p>
    <w:p>
      <w:pPr>
        <w:pStyle w:val="Heading2"/>
        <w:numPr>
          <w:ilvl w:val="0"/>
          <w:numId w:val="0"/>
        </w:numPr>
        <w:ind w:hanging="0" w:start="0"/>
      </w:pPr>
      <w:r>
        <w:t>3.1. A kliens navigációs felépítése</w:t>
      </w:r>
    </w:p>
    <w:p>
      <w:pPr>
        <w:pStyle w:val="Normal"/>
      </w:pPr>
      <w:r>
        <w:t>A bejelentkezés után a kliens alsó fülsávot (TabBar) jelenít meg három füllel: Beolvasás, Eszközök és Importálás. A bejelentkezési oldal a fülsávon kívül van, ezért bejelentkezéskor a fülsáv nem látszik. A bejelentkezés után a navigáció abszolút útvonalon történik, így a bejelentkezési oldalra nem lehet visszalépni. Az egyes fülek jelenlegi állapotát az 5. táblázat foglalja össze.</w:t>
      </w:r>
    </w:p>
    <w:tbl>
      <w:tblPr>
        <w:tblW w:w="8503" w:type="dxa"/>
        <w:jc w:val="center"/>
        <w:tblInd w:w="0" w:type="dxa"/>
        <w:tblLayout w:type="fixed"/>
        <w:tblCellMar>
          <w:top w:w="60" w:type="dxa"/>
          <w:start w:w="100" w:type="dxa"/>
          <w:bottom w:w="60" w:type="dxa"/>
          <w:end w:w="100" w:type="dxa"/>
        </w:tblCellMar>
      </w:tblPr>
      <w:tblGrid>
        <w:gridCol w:w="2199"/>
        <w:gridCol w:w="2600"/>
        <w:gridCol w:w="3704"/>
      </w:tblGrid>
      <w:tr>
        <w:trPr>
          <w:tblHeader w:val="true"/>
          <w:cantSplit/>
        </w:trPr>
        <w:tc>
          <w:tcPr>
            <w:tcW w:w="2199"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Fül</w:t>
            </w:r>
          </w:p>
        </w:tc>
        <w:tc>
          <w:tcPr>
            <w:tcW w:w="2600"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Funkció</w:t>
            </w:r>
          </w:p>
        </w:tc>
        <w:tc>
          <w:tcPr>
            <w:tcW w:w="3704" w:type="dxa"/>
            <w:tcBorders>
              <w:top w:val="single" w:sz="4" w:space="0" w:color="999999"/>
              <w:start w:val="single" w:sz="4" w:space="0" w:color="999999"/>
              <w:bottom w:val="single" w:sz="4" w:space="0" w:color="999999"/>
              <w:end w:val="single" w:sz="4" w:space="0" w:color="999999"/>
            </w:tcBorders>
            <w:shd w:color="auto" w:fill="E8E8E8" w:val="clear"/>
            <w:vAlign w:val="center"/>
          </w:tcPr>
          <w:p>
            <w:pPr>
              <w:pStyle w:val="Tblzattartalomuser"/>
              <w:ind w:hanging="0" w:start="0"/>
              <w:rPr/>
            </w:pPr>
            <w:r>
              <w:rPr>
                <w:b/>
              </w:rPr>
              <w:t>Állapot</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Beolvasás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leltárszám vagy kód beírása és beolvasás gomb</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 felület elkészült, a gombnak még nincs funkciója</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Eszközök</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az eszközök listázása, keresése és szűrése</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működik, a szerverről betöltött adatokkal</w:t>
            </w:r>
          </w:p>
        </w:tc>
      </w:tr>
      <w:tr>
        <w:trPr>
          <w:cantSplit/>
        </w:trPr>
        <w:tc>
          <w:tcPr>
            <w:tcW w:w="2199"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Importálás</w:t>
            </w:r>
          </w:p>
        </w:tc>
        <w:tc>
          <w:tcPr>
            <w:tcW w:w="2600"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Excel forrásállomány feltöltése a szerverre</w:t>
            </w:r>
          </w:p>
        </w:tc>
        <w:tc>
          <w:tcPr>
            <w:tcW w:w="3704" w:type="dxa"/>
            <w:tcBorders>
              <w:top w:val="single" w:sz="4" w:space="0" w:color="999999"/>
              <w:start w:val="single" w:sz="4" w:space="0" w:color="999999"/>
              <w:bottom w:val="single" w:sz="4" w:space="0" w:color="999999"/>
              <w:end w:val="single" w:sz="4" w:space="0" w:color="999999"/>
            </w:tcBorders>
            <w:vAlign w:val="center"/>
          </w:tcPr>
          <w:p>
            <w:pPr>
              <w:pStyle w:val="Tblzattartalomuser"/>
              <w:ind w:hanging="0" w:start="0"/>
              <w:rPr/>
            </w:pPr>
            <w:r>
              <w:rPr/>
              <w:t>működik, a meglévő szerveroldali import végpontot használja</w:t>
            </w:r>
          </w:p>
        </w:tc>
      </w:tr>
    </w:tbl>
    <w:p>
      <w:pPr>
        <w:pStyle w:val="Normal"/>
        <w:spacing w:before="120" w:after="240"/>
        <w:ind w:hanging="0"/>
        <w:jc w:val="center"/>
        <w:rPr/>
      </w:pPr>
      <w:r>
        <w:rPr>
          <w:i/>
          <w:sz w:val="20"/>
        </w:rPr>
        <w:t>5. táblázat: a kliens fülei és állapotuk</w:t>
      </w:r>
    </w:p>
    <w:p>
      <w:pPr>
        <w:pStyle w:val="Heading2"/>
        <w:numPr>
          <w:ilvl w:val="0"/>
          <w:numId w:val="0"/>
        </w:numPr>
        <w:ind w:hanging="0" w:start="0"/>
      </w:pPr>
      <w:r>
        <w:t>3.2. Az eszközök listázása, keresése és szűrése</w:t>
      </w:r>
    </w:p>
    <w:p>
      <w:pPr>
        <w:pStyle w:val="Firstparagraph"/>
      </w:pPr>
      <w:r>
        <w:t>Az Eszközök fül az összes eszközt egyetlen kéréssel (GET api/assets) kérdezi le a szervertől, és a letöltött adatokon biztosít keresést és szűrést. A fül funkciói:</w:t>
      </w:r>
    </w:p>
    <w:p>
      <w:pPr>
        <w:pStyle w:val="ListParagraph"/>
        <w:numPr>
          <w:ilvl w:val="0"/>
          <w:numId w:val="3"/>
        </w:numPr>
      </w:pPr>
      <w:r>
        <w:t>kereső mező, amely név vagy leltárszám alapján keres, kis- és nagybetűtől függetlenül; a szűrés 250 ezredmásodperces késleltetéssel indul, hogy gépelés közben ne akadjon az oldal;</w:t>
      </w:r>
    </w:p>
    <w:p>
      <w:pPr>
        <w:pStyle w:val="ListParagraph"/>
        <w:numPr>
          <w:ilvl w:val="0"/>
          <w:numId w:val="3"/>
        </w:numPr>
      </w:pPr>
      <w:r>
        <w:t>legördülő szűrők állapot, típus és zóna szerint; a választható értékeket a kliens a letöltött adatokból gyűjti, és az első elem mindig az „Összes”;</w:t>
      </w:r>
    </w:p>
    <w:p>
      <w:pPr>
        <w:pStyle w:val="ListParagraph"/>
        <w:numPr>
          <w:ilvl w:val="0"/>
          <w:numId w:val="3"/>
        </w:numPr>
      </w:pPr>
      <w:r>
        <w:t>találatszámláló, amely szűrés nélkül az eszközök számát, szűréskor a találatok és az összes eszköz számát mutatja;</w:t>
      </w:r>
    </w:p>
    <w:p>
      <w:pPr>
        <w:pStyle w:val="ListParagraph"/>
        <w:numPr>
          <w:ilvl w:val="0"/>
          <w:numId w:val="3"/>
        </w:numPr>
      </w:pPr>
      <w:r>
        <w:t>„Szűrők törlése” gomb, amely csak akkor látszik, ha van aktív szűrő;</w:t>
      </w:r>
    </w:p>
    <w:p>
      <w:pPr>
        <w:pStyle w:val="ListParagraph"/>
        <w:numPr>
          <w:ilvl w:val="0"/>
          <w:numId w:val="3"/>
        </w:numPr>
      </w:pPr>
      <w:r>
        <w:t>frissítés: a fejlécben elhelyezett gomb (Windowson), illetve lehúzással (mobilon);</w:t>
      </w:r>
    </w:p>
    <w:p>
      <w:pPr>
        <w:pStyle w:val="ListParagraph"/>
        <w:numPr>
          <w:ilvl w:val="0"/>
          <w:numId w:val="3"/>
        </w:numPr>
      </w:pPr>
      <w:r>
        <w:t>a szűrők fülváltáskor megmaradnak, mert az oldal csak az első megnyitáskor tölt be automatikusan;</w:t>
      </w:r>
    </w:p>
    <w:p>
      <w:pPr>
        <w:pStyle w:val="ListParagraph"/>
        <w:numPr>
          <w:ilvl w:val="0"/>
          <w:numId w:val="3"/>
        </w:numPr>
      </w:pPr>
      <w:r>
        <w:t>ha egyetlen eszköz sem felel meg a feltételeknek, a „Nincs találat” üzenet jelenik meg.</w:t>
      </w:r>
    </w:p>
    <w:p>
      <w:pPr>
        <w:pStyle w:val="Normal"/>
      </w:pPr>
      <w:r>
        <w:t>A lista megjelenítésekor a kliens a teljes találati listát egyben cseréli le, nem az elemeket egyesével adja hozzá, így a mintegy 1800 eszköznyi adatmennyiség mellett is gyors marad a felület.</w:t>
      </w:r>
    </w:p>
    <w:p>
      <w:pPr>
        <w:pStyle w:val="Heading2"/>
        <w:numPr>
          <w:ilvl w:val="0"/>
          <w:numId w:val="0"/>
        </w:numPr>
        <w:ind w:hanging="0" w:start="0"/>
      </w:pPr>
      <w:r>
        <w:t>3.3. Az eszközkártyák megjelenítése</w:t>
      </w:r>
    </w:p>
    <w:p>
      <w:pPr>
        <w:pStyle w:val="Normal"/>
      </w:pPr>
      <w:r>
        <w:t>Az egyes eszközök kártyán jelennek meg: a kártya az eszköz nevét és leltárszámát, valamint címkéket mutat (típus, zóna, és ha az eszköznek vannak tartozékai, azok száma). Az állapot jelvényként látható: az „Aktív” állapot zöld, minden más állapot szürke háttérrel jelenik meg. A szűrőpanel külön kártyában van, a mezők felett rövid felirattal.</w:t>
      </w:r>
    </w:p>
    <w:p>
      <w:pPr>
        <w:pStyle w:val="Normal"/>
      </w:pPr>
      <w:r>
        <w:t>Az elrendezés reszponzív: széles ablakban több oszlopban jelennek meg a kártyák (legalább 380 képpont kártyaszélességgel), a színek pedig világos és sötét témában is olvashatók (AppThemeBinding).</w:t>
      </w:r>
    </w:p>
    <w:p>
      <w:pPr>
        <w:pStyle w:val="Normal"/>
      </w:pPr>
      <w:r>
        <w:t>A kártyákon megjelenő szövegek egy része nem a szervertől érkezik, hanem a kliens állítja elő az AssetSummary modell kizárólag megjelenítésre szánt mezőiből: a típus olvashatóbb írásmódja (például „VONALKÓD LEOLVASÓ” helyett „Vonalkód leolvasó”), az állapot magyar szövege (például active → Aktív, inactive → Inaktív, missing → Hiányzik), a zóna felirata (például „Zóna 262”) és a tartozékok száma (például „3 tartozék”).</w:t>
      </w:r>
    </w:p>
    <w:p>
      <w:pPr>
        <w:pStyle w:val="Heading2"/>
        <w:numPr>
          <w:ilvl w:val="0"/>
          <w:numId w:val="0"/>
        </w:numPr>
        <w:ind w:hanging="0" w:start="0"/>
      </w:pPr>
      <w:r>
        <w:t>3.4. Az Excel-import indítása a kliensből</w:t>
      </w:r>
    </w:p>
    <w:p>
      <w:pPr>
        <w:pStyle w:val="Firstparagraph"/>
      </w:pPr>
      <w:r>
        <w:t>Az Excel-import eddig csak a szerver Swagger felületéről volt elérhető. Az Importálás fül ezt a meglévő szerveroldali végpontot (POST api/assets/import) hívja a kliensből, a szerveren emiatt módosításra nem volt szükség. A fül működése:</w:t>
      </w:r>
    </w:p>
    <w:p>
      <w:pPr>
        <w:pStyle w:val="ListParagraph"/>
        <w:numPr>
          <w:ilvl w:val="0"/>
          <w:numId w:val="3"/>
        </w:numPr>
      </w:pPr>
      <w:r>
        <w:t>a „Tallózás…” gomb rendszer-fájlválasztót nyit, amely platformonként beállítva csak .xlsx fájlokat enged kiválasztani;</w:t>
      </w:r>
    </w:p>
    <w:p>
      <w:pPr>
        <w:pStyle w:val="ListParagraph"/>
        <w:numPr>
          <w:ilvl w:val="0"/>
          <w:numId w:val="3"/>
        </w:numPr>
      </w:pPr>
      <w:r>
        <w:t>a zónanév megadása a kliensen opcionális; ha a mező üres, a kliens az „Importált zóna” értéket küldi, mert a szerver kötelező mezőként kezeli;</w:t>
      </w:r>
    </w:p>
    <w:p>
      <w:pPr>
        <w:pStyle w:val="ListParagraph"/>
        <w:numPr>
          <w:ilvl w:val="0"/>
          <w:numId w:val="3"/>
        </w:numPr>
      </w:pPr>
      <w:r>
        <w:t>a „Feltöltés” gomb csak kiválasztott fájllal aktív, feltöltés közben pörgő jelző látszik;</w:t>
      </w:r>
    </w:p>
    <w:p>
      <w:pPr>
        <w:pStyle w:val="ListParagraph"/>
        <w:numPr>
          <w:ilvl w:val="0"/>
          <w:numId w:val="3"/>
        </w:numPr>
      </w:pPr>
      <w:r>
        <w:t>a feltöltés eredménye kártyán jelenik meg: hány új eszköz került be, és hányat hagyott ki az import, mert már létezett;</w:t>
      </w:r>
    </w:p>
    <w:p>
      <w:pPr>
        <w:pStyle w:val="ListParagraph"/>
        <w:numPr>
          <w:ilvl w:val="0"/>
          <w:numId w:val="3"/>
        </w:numPr>
      </w:pPr>
      <w:r>
        <w:t>hiba esetén piros kártya jelenik meg a szerver válaszával.</w:t>
      </w:r>
    </w:p>
    <w:p>
      <w:pPr>
        <w:pStyle w:val="Normal"/>
      </w:pPr>
      <w:r>
        <w:t>A kérés multipart/form-data formátumú, a file mezőben a feltöltött xlsx fájllal és a zoneName mezőben a zóna nevével; a szerver válasza az imported és a skippedExisting számot tartalmazza. A kihagyott, már létező eszközök számának megjelenítése a 2.4. alfejezetben leírt, újra futtatható import működését teszi láthatóvá a felületen.</w:t>
      </w:r>
    </w:p>
    <w:p>
      <w:pPr>
        <w:pStyle w:val="Heading2"/>
        <w:numPr>
          <w:ilvl w:val="0"/>
          <w:numId w:val="0"/>
        </w:numPr>
        <w:ind w:hanging="0" w:start="0"/>
      </w:pPr>
      <w:r>
        <w:t>3.5. Szerveroldali módosítás: az útvonalak szétválasztása</w:t>
      </w:r>
    </w:p>
    <w:p>
      <w:pPr>
        <w:pStyle w:val="Normal"/>
      </w:pPr>
      <w:r>
        <w:t>A szerveren az AssetsController két, egymással ütköző GET útvonalát szétválasztottuk: az eszköz azonosító szerinti lekérdezése a GET api/assets/{id:int}, a leltárszám szerinti keresés pedig a GET api/assets/inventory/{inventoryNumber} útvonalon érhető el. Az azonosító szerinti útvonal így csak egész számot fogad el, a leltárszám szerinti keresés pedig külön, saját előtaggal rendelkező útvonalat kapott.</w:t>
      </w:r>
    </w:p>
    <w:p>
      <w:pPr>
        <w:pStyle w:val="Heading2"/>
        <w:numPr>
          <w:ilvl w:val="0"/>
          <w:numId w:val="0"/>
        </w:numPr>
        <w:ind w:hanging="0" w:start="0"/>
      </w:pPr>
      <w:r>
        <w:t>3.6. Ismert korlátok és következő lépések</w:t>
      </w:r>
    </w:p>
    <w:p>
      <w:pPr>
        <w:pStyle w:val="Firstparagraph"/>
      </w:pPr>
      <w:r>
        <w:t>A jelenlegi állapot ismert korlátai és a következő lépések a következők:</w:t>
      </w:r>
    </w:p>
    <w:p>
      <w:pPr>
        <w:pStyle w:val="ListParagraph"/>
        <w:numPr>
          <w:ilvl w:val="0"/>
          <w:numId w:val="3"/>
        </w:numPr>
      </w:pPr>
      <w:r>
        <w:t>a bejelentkezésnek nincs valódi hitelesítése: a kliens csak azt ellenőrzi, hogy a felhasználónév ki van-e töltve, jelszóellenőrzés és JWT még nincs;</w:t>
      </w:r>
    </w:p>
    <w:p>
      <w:pPr>
        <w:pStyle w:val="ListParagraph"/>
        <w:numPr>
          <w:ilvl w:val="0"/>
          <w:numId w:val="3"/>
        </w:numPr>
      </w:pPr>
      <w:r>
        <w:t>a Beolvasás fülön a gombnak még nincs funkciója; a következő lépés a GET api/assets/inventory/{leltárszám} végpont bekötése és az eredmény megjelenítése;</w:t>
      </w:r>
    </w:p>
    <w:p>
      <w:pPr>
        <w:pStyle w:val="ListParagraph"/>
        <w:numPr>
          <w:ilvl w:val="0"/>
          <w:numId w:val="3"/>
        </w:numPr>
      </w:pPr>
      <w:r>
        <w:t>import után az Eszközök listát kézzel kell frissíteni a „Frissítés” gombbal; ez később automatizálható;</w:t>
      </w:r>
    </w:p>
    <w:p>
      <w:pPr>
        <w:pStyle w:val="ListParagraph"/>
        <w:numPr>
          <w:ilvl w:val="0"/>
          <w:numId w:val="3"/>
        </w:numPr>
      </w:pPr>
      <w:r>
        <w:t>Androidon a https://localhost:7080 cím az emulátorból nem érhető el, ott a 10.0.2.2 címet vagy a gép IP-címét kell használni, és a fejlesztői tanúsítványt is kezelni kell; a tesztelés eddig Windowson történt;</w:t>
      </w:r>
    </w:p>
    <w:p>
      <w:pPr>
        <w:pStyle w:val="ListParagraph"/>
        <w:numPr>
          <w:ilvl w:val="0"/>
          <w:numId w:val="3"/>
        </w:numPr>
      </w:pPr>
      <w:r>
        <w:t>a Beolvasás és a Bejelentkezés oldal még nem kapta meg az Eszközök és az Importálás oldalon alkalmazott egységes megjelenést.</w:t>
      </w:r>
    </w:p>
    <w:p>
      <w:pPr>
        <w:pStyle w:val="Normal"/>
      </w:pPr>
      <w:r>
        <w:t>A 2.8. alfejezetben felsorolt további lépések közül a leltárkörzet- és helyiségválasztó képernyő, a leolvasások szerveroldali mentése és a hitelesítés bekötése még hátravan.</w:t>
      </w:r>
    </w:p>
    <w:p>
      <w:pPr>
        <w:pStyle w:val="Cmsor1-szmozatlan"/>
        <w:ind w:hanging="0" w:start="0"/>
        <w:rPr/>
      </w:pPr>
      <w:bookmarkStart w:id="24" w:name="__RefHeading___Toc1090_114363969"/>
      <w:bookmarkStart w:id="25" w:name="_Toc99107200"/>
      <w:bookmarkEnd w:id="24"/>
      <w:r>
        <w:rPr/>
        <w:t>Irodalomjegyzék</w:t>
      </w:r>
      <w:bookmarkEnd w:id="25"/>
    </w:p>
    <w:p>
      <w:pPr>
        <w:pStyle w:val="Normal"/>
        <w:rPr>
          <w:rFonts w:eastAsia="Times New Roman"/>
        </w:rPr>
      </w:pPr>
      <w:r>
        <w:rPr>
          <w:rFonts w:eastAsia="Times New Roman"/>
        </w:rPr>
      </w:r>
    </w:p>
    <w:p>
      <w:pPr>
        <w:pStyle w:val="Cmsor1-szmozatlan"/>
        <w:ind w:hanging="0" w:start="0"/>
        <w:rPr/>
      </w:pPr>
      <w:bookmarkStart w:id="26" w:name="__RefHeading___Toc1092_114363969"/>
      <w:bookmarkStart w:id="27" w:name="_Ref89376640"/>
      <w:bookmarkStart w:id="28" w:name="_Toc99107201"/>
      <w:bookmarkEnd w:id="26"/>
      <w:r>
        <w:rPr/>
        <w:t>Mellékletek</w:t>
      </w:r>
      <w:bookmarkEnd w:id="27"/>
      <w:bookmarkEnd w:id="28"/>
    </w:p>
    <w:p>
      <w:pPr>
        <w:pStyle w:val="Firstparagraph"/>
        <w:rPr/>
      </w:pPr>
      <w:r>
        <w:rPr/>
        <w:t>Mappaszerkezet</w:t>
      </w:r>
    </w:p>
    <w:p>
      <w:pPr>
        <w:pStyle w:val="PlainText"/>
        <w:rPr>
          <w:rFonts w:ascii="Courier New" w:hAnsi="Courier New" w:cs="Courier New"/>
        </w:rPr>
      </w:pPr>
      <w:r>
        <w:rPr>
          <w:rFonts w:cs="Courier New" w:ascii="Courier New" w:hAnsi="Courier New"/>
        </w:rPr>
      </w:r>
    </w:p>
    <w:p>
      <w:pPr>
        <w:pStyle w:val="Normal"/>
        <w:rPr/>
      </w:pPr>
      <w:r>
        <w:rPr/>
      </w:r>
    </w:p>
    <w:p>
      <w:pPr>
        <w:pStyle w:val="Cmsor1-szmozatlan"/>
        <w:ind w:hanging="0" w:start="0"/>
        <w:rPr/>
      </w:pPr>
      <w:bookmarkStart w:id="29" w:name="__RefHeading___Toc1094_114363969"/>
      <w:bookmarkStart w:id="30" w:name="_Toc99107202"/>
      <w:bookmarkEnd w:id="29"/>
      <w:r>
        <w:rPr/>
        <w:t>Ábrajegyzék</w:t>
      </w:r>
      <w:bookmarkEnd w:id="30"/>
    </w:p>
    <w:p>
      <w:pPr>
        <w:pStyle w:val="BodyText"/>
        <w:rPr/>
      </w:pPr>
      <w:r>
        <w:rPr/>
      </w:r>
    </w:p>
    <w:p>
      <w:pPr>
        <w:pStyle w:val="Normal"/>
        <w:tabs>
          <w:tab w:val="clear" w:pos="709"/>
          <w:tab w:val="left" w:pos="1220" w:leader="none"/>
        </w:tabs>
        <w:rPr/>
      </w:pPr>
      <w:r>
        <w:rPr/>
      </w:r>
    </w:p>
    <w:p>
      <w:pPr>
        <w:pStyle w:val="Cmsor1-szmozatlan"/>
        <w:ind w:hanging="0" w:start="0"/>
        <w:rPr/>
      </w:pPr>
      <w:bookmarkStart w:id="31" w:name="__RefHeading___Toc1096_114363969"/>
      <w:bookmarkStart w:id="32" w:name="_Toc99107203"/>
      <w:bookmarkEnd w:id="31"/>
      <w:r>
        <w:rPr/>
        <w:t>Táblázatjegyzék</w:t>
      </w:r>
      <w:bookmarkEnd w:id="32"/>
    </w:p>
    <w:p>
      <w:pPr>
        <w:pStyle w:val="BodyText"/>
        <w:rPr/>
      </w:pPr>
      <w:r>
        <w:rPr/>
      </w:r>
    </w:p>
    <w:p>
      <w:pPr>
        <w:pStyle w:val="Normal"/>
        <w:rPr/>
      </w:pPr>
      <w:r>
        <w:rPr/>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18" w:right="1418" w:gutter="567"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Consolas">
    <w:charset w:val="ee" w:characterSet="windows-1250"/>
    <w:family w:val="roman"/>
    <w:pitch w:val="variable"/>
  </w:font>
  <w:font w:name="Liberation Sans">
    <w:altName w:val="Arial"/>
    <w:charset w:val="ee" w:characterSet="windows-1250"/>
    <w:family w:val="swiss"/>
    <w:pitch w:val="variable"/>
  </w:font>
  <w:font w:name="Calibri Light">
    <w:charset w:val="ee" w:characterSet="windows-1250"/>
    <w:family w:val="roman"/>
    <w:pitch w:val="variable"/>
  </w:font>
  <w:font w:name="Courier New">
    <w:charset w:val="ee" w:characterSet="windows-1250"/>
    <w:family w:val="roman"/>
    <w:pitch w:val="variable"/>
  </w:font>
  <w:font w:name="Arial">
    <w:charset w:val="ee" w:characterSet="windows-1250"/>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p>
    <w:pPr>
      <w:pStyle w:val="Footer"/>
      <w:jc w:val="end"/>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p>
  <w:p>
    <w:pPr>
      <w:pStyle w:val="Footer"/>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cs="Times New Roman"/>
        <w:szCs w:val="24"/>
      </w:rPr>
    </w:pPr>
    <w:r>
      <w:rPr>
        <w:rFonts w:cs="Times New Roman"/>
        <w:szCs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spacing w:lineRule="auto" w:line="360"/>
      <w:ind w:hanging="0"/>
      <w:jc w:val="center"/>
      <w:rPr>
        <w:rFonts w:cs="Times New Roman"/>
        <w:szCs w:val="24"/>
      </w:rPr>
    </w:pPr>
    <w:r>
      <w:rPr>
        <w:rFonts w:cs="Times New Roman"/>
        <w:szCs w:val="24"/>
      </w:rPr>
      <w:fldChar w:fldCharType="begin"/>
    </w:r>
    <w:r>
      <w:rPr>
        <w:rFonts w:cs="Times New Roman"/>
        <w:szCs w:val="24"/>
      </w:rPr>
      <w:instrText xml:space="preserve"> STYLEREF "heading 1" </w:instrText>
    </w:r>
    <w:r>
      <w:rPr>
        <w:rFonts w:cs="Times New Roman"/>
        <w:szCs w:val="24"/>
      </w:rPr>
      <w:fldChar w:fldCharType="separate"/>
    </w:r>
    <w:r>
      <w:rPr>
        <w:rFonts w:cs="Times New Roman"/>
        <w:szCs w:val="24"/>
      </w:rPr>
      <w:t>Bevezetés</w:t>
    </w:r>
    <w:r>
      <w:rPr>
        <w:rFonts w:cs="Times New Roman"/>
        <w:szCs w:val="24"/>
      </w:rPr>
      <w:fldChar w:fldCharType="end"/>
    </w:r>
  </w:p>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000000"/>
      </w:pBdr>
      <w:rPr/>
    </w:pPr>
    <w:r>
      <w:rPr/>
      <w:t>Tervezés</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rFonts w:ascii="Arial" w:hAnsi="Arial"/>
        <w:b/>
        <w:i w:val="false"/>
        <w:sz w:val="24"/>
        <w:szCs w:val="24"/>
      </w:rPr>
    </w:lvl>
    <w:lvl w:ilvl="1">
      <w:start w:val="1"/>
      <w:numFmt w:val="decimal"/>
      <w:pStyle w:val="Heading2"/>
      <w:lvlText w:val="%1.%2."/>
      <w:lvlJc w:val="start"/>
      <w:pPr>
        <w:tabs>
          <w:tab w:val="num" w:pos="0"/>
        </w:tabs>
        <w:ind w:start="858" w:hanging="432"/>
      </w:pPr>
      <w:rPr>
        <w:b/>
        <w:bCs w:val="false"/>
        <w:i w:val="false"/>
        <w:iCs w:val="false"/>
        <w:caps w:val="false"/>
        <w:smallCaps w:val="false"/>
        <w:strike w:val="false"/>
        <w:dstrike w:val="false"/>
        <w:outline w:val="false"/>
        <w:shadow w:val="false"/>
        <w:emboss w:val="false"/>
        <w:imprint w:val="false"/>
        <w:vanish w:val="false"/>
        <w:spacing w:val="0"/>
        <w:kern w:val="0"/>
        <w:position w:val="0"/>
        <w:sz w:val="22"/>
        <w:u w:val="none"/>
        <w:effect w:val="none"/>
        <w:vertAlign w:val="baseline"/>
        <w:em w:val="none"/>
      </w:rPr>
    </w:lvl>
    <w:lvl w:ilvl="2">
      <w:start w:val="1"/>
      <w:numFmt w:val="decimal"/>
      <w:pStyle w:val="Heading3"/>
      <w:lvlText w:val="%1.%2.%3."/>
      <w:lvlJc w:val="start"/>
      <w:pPr>
        <w:tabs>
          <w:tab w:val="num" w:pos="0"/>
        </w:tabs>
        <w:ind w:start="1224" w:hanging="504"/>
      </w:pPr>
      <w:rPr>
        <w:rFonts w:ascii="Arial" w:hAnsi="Arial"/>
        <w:b/>
        <w:i w:val="false"/>
        <w:sz w:val="24"/>
      </w:rPr>
    </w:lvl>
    <w:lvl w:ilvl="3">
      <w:start w:val="1"/>
      <w:numFmt w:val="decimal"/>
      <w:pStyle w:val="Heading4"/>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0"/>
        </w:tabs>
        <w:ind w:start="1035"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14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2">
      <w:start w:val="1"/>
      <w:numFmt w:val="bullet"/>
      <w:lvlText w:val="▪"/>
      <w:lvlJc w:val="start"/>
      <w:pPr>
        <w:tabs>
          <w:tab w:val="num" w:pos="0"/>
        </w:tabs>
        <w:ind w:start="21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3">
      <w:start w:val="1"/>
      <w:numFmt w:val="bullet"/>
      <w:lvlText w:val="•"/>
      <w:lvlJc w:val="start"/>
      <w:pPr>
        <w:tabs>
          <w:tab w:val="num" w:pos="0"/>
        </w:tabs>
        <w:ind w:start="28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4">
      <w:start w:val="1"/>
      <w:numFmt w:val="bullet"/>
      <w:lvlText w:val="o"/>
      <w:lvlJc w:val="start"/>
      <w:pPr>
        <w:tabs>
          <w:tab w:val="num" w:pos="0"/>
        </w:tabs>
        <w:ind w:start="360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5">
      <w:start w:val="1"/>
      <w:numFmt w:val="bullet"/>
      <w:lvlText w:val="▪"/>
      <w:lvlJc w:val="start"/>
      <w:pPr>
        <w:tabs>
          <w:tab w:val="num" w:pos="0"/>
        </w:tabs>
        <w:ind w:start="432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6">
      <w:start w:val="1"/>
      <w:numFmt w:val="bullet"/>
      <w:lvlText w:val="•"/>
      <w:lvlJc w:val="start"/>
      <w:pPr>
        <w:tabs>
          <w:tab w:val="num" w:pos="0"/>
        </w:tabs>
        <w:ind w:start="504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7">
      <w:start w:val="1"/>
      <w:numFmt w:val="bullet"/>
      <w:lvlText w:val="o"/>
      <w:lvlJc w:val="start"/>
      <w:pPr>
        <w:tabs>
          <w:tab w:val="num" w:pos="0"/>
        </w:tabs>
        <w:ind w:start="576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8">
      <w:start w:val="1"/>
      <w:numFmt w:val="bullet"/>
      <w:lvlText w:val="▪"/>
      <w:lvlJc w:val="start"/>
      <w:pPr>
        <w:tabs>
          <w:tab w:val="num" w:pos="0"/>
        </w:tabs>
        <w:ind w:start="6480" w:hanging="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abstractNum>
  <w:abstractNum w:abstractNumId="3">
    <w:lvl w:ilvl="0">
      <w:start w:val="1"/>
      <w:numFmt w:val="bullet"/>
      <w:lvlText w:val="•"/>
      <w:lvlJc w:val="start"/>
      <w:pPr>
        <w:tabs>
          <w:tab w:val="num" w:pos="0"/>
        </w:tabs>
        <w:ind w:start="1440" w:hanging="360"/>
      </w:pPr>
      <w:rPr>
        <w:rFonts w:ascii="Times New Roman" w:hAnsi="Times New Roman" w:cs="Times New Roman" w:hint="default"/>
        <w:b w:val="false"/>
        <w:i w:val="false"/>
        <w:strike w:val="false"/>
        <w:dstrike w:val="false"/>
        <w:color w:val="000000"/>
        <w:position w:val="0"/>
        <w:sz w:val="24"/>
        <w:szCs w:val="24"/>
        <w:u w:val="none"/>
        <w:shd w:fill="auto" w:val="clear"/>
        <w:vertAlign w:val="baseline"/>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4">
    <w:lvl w:ilvl="0">
      <w:start w:val="1"/>
      <w:numFmt w:val="decimal"/>
      <w:lvlText w:val="%1."/>
      <w:lvlJc w:val="start"/>
      <w:pPr>
        <w:tabs>
          <w:tab w:val="num" w:pos="0"/>
        </w:tabs>
        <w:ind w:start="717" w:hanging="360"/>
      </w:pPr>
      <w:rPr/>
    </w:lvl>
    <w:lvl w:ilvl="1">
      <w:start w:val="1"/>
      <w:numFmt w:val="lowerLetter"/>
      <w:lvlText w:val="%2."/>
      <w:lvlJc w:val="start"/>
      <w:pPr>
        <w:tabs>
          <w:tab w:val="num" w:pos="0"/>
        </w:tabs>
        <w:ind w:start="1437" w:hanging="360"/>
      </w:pPr>
      <w:rPr/>
    </w:lvl>
    <w:lvl w:ilvl="2">
      <w:start w:val="1"/>
      <w:numFmt w:val="lowerRoman"/>
      <w:lvlText w:val="%3."/>
      <w:lvlJc w:val="end"/>
      <w:pPr>
        <w:tabs>
          <w:tab w:val="num" w:pos="0"/>
        </w:tabs>
        <w:ind w:start="2157" w:hanging="180"/>
      </w:pPr>
      <w:rPr/>
    </w:lvl>
    <w:lvl w:ilvl="3">
      <w:start w:val="1"/>
      <w:numFmt w:val="decimal"/>
      <w:lvlText w:val="%4."/>
      <w:lvlJc w:val="start"/>
      <w:pPr>
        <w:tabs>
          <w:tab w:val="num" w:pos="0"/>
        </w:tabs>
        <w:ind w:start="2877" w:hanging="360"/>
      </w:pPr>
      <w:rPr/>
    </w:lvl>
    <w:lvl w:ilvl="4">
      <w:start w:val="1"/>
      <w:numFmt w:val="lowerLetter"/>
      <w:lvlText w:val="%5."/>
      <w:lvlJc w:val="start"/>
      <w:pPr>
        <w:tabs>
          <w:tab w:val="num" w:pos="0"/>
        </w:tabs>
        <w:ind w:start="3597" w:hanging="360"/>
      </w:pPr>
      <w:rPr/>
    </w:lvl>
    <w:lvl w:ilvl="5">
      <w:start w:val="1"/>
      <w:numFmt w:val="lowerRoman"/>
      <w:lvlText w:val="%6."/>
      <w:lvlJc w:val="end"/>
      <w:pPr>
        <w:tabs>
          <w:tab w:val="num" w:pos="0"/>
        </w:tabs>
        <w:ind w:start="4317" w:hanging="180"/>
      </w:pPr>
      <w:rPr/>
    </w:lvl>
    <w:lvl w:ilvl="6">
      <w:start w:val="1"/>
      <w:numFmt w:val="decimal"/>
      <w:lvlText w:val="%7."/>
      <w:lvlJc w:val="start"/>
      <w:pPr>
        <w:tabs>
          <w:tab w:val="num" w:pos="0"/>
        </w:tabs>
        <w:ind w:start="5037" w:hanging="360"/>
      </w:pPr>
      <w:rPr/>
    </w:lvl>
    <w:lvl w:ilvl="7">
      <w:start w:val="1"/>
      <w:numFmt w:val="lowerLetter"/>
      <w:lvlText w:val="%8."/>
      <w:lvlJc w:val="start"/>
      <w:pPr>
        <w:tabs>
          <w:tab w:val="num" w:pos="0"/>
        </w:tabs>
        <w:ind w:start="5757" w:hanging="360"/>
      </w:pPr>
      <w:rPr/>
    </w:lvl>
    <w:lvl w:ilvl="8">
      <w:start w:val="1"/>
      <w:numFmt w:val="lowerRoman"/>
      <w:lvlText w:val="%9."/>
      <w:lvlJc w:val="end"/>
      <w:pPr>
        <w:tabs>
          <w:tab w:val="num" w:pos="0"/>
        </w:tabs>
        <w:ind w:start="6477"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docVars>
    <w:docVar w:name="__Grammarly_42____i" w:val="H4sIAAAAAAAEAKtWckksSQxILCpxzi/NK1GyMqwFAAEhoTITAAAA"/>
    <w:docVar w:name="__Grammarly_42___1" w:val="H4sIAAAAAAAEAKtWcslP9kxRslIyNDayNLAwMTMxMbUwNDM1MDZW0lEKTi0uzszPAykwrQUAtm2ViCwAAAA="/>
  </w:docVars>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hu-H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ind w:firstLine="567"/>
      <w:jc w:val="both"/>
    </w:pPr>
    <w:rPr>
      <w:rFonts w:ascii="Times New Roman" w:hAnsi="Times New Roman" w:eastAsia="Calibri" w:cs="Tahoma"/>
      <w:color w:val="auto"/>
      <w:kern w:val="0"/>
      <w:sz w:val="24"/>
      <w:szCs w:val="22"/>
      <w:lang w:val="hu-HU" w:eastAsia="en-US" w:bidi="ar-SA"/>
    </w:rPr>
  </w:style>
  <w:style w:type="paragraph" w:styleId="Heading1">
    <w:name w:val="heading 1"/>
    <w:basedOn w:val="Normal"/>
    <w:next w:val="Firstparagraph"/>
    <w:link w:val="Cmsor1Char"/>
    <w:qFormat/>
    <w:pPr>
      <w:keepNext w:val="true"/>
      <w:keepLines/>
      <w:numPr>
        <w:ilvl w:val="0"/>
        <w:numId w:val="0"/>
      </w:numPr>
      <w:spacing w:before="720" w:after="480"/>
      <w:ind w:hanging="357" w:start="357"/>
      <w:outlineLvl w:val="0"/>
    </w:pPr>
    <w:rPr>
      <w:rFonts w:eastAsia="Calibri" w:cs="Tahoma"/>
      <w:b/>
      <w:color w:themeColor="dark1" w:val="000000"/>
      <w:sz w:val="28"/>
      <w:szCs w:val="32"/>
    </w:rPr>
  </w:style>
  <w:style w:type="paragraph" w:styleId="Heading2">
    <w:name w:val="heading 2"/>
    <w:basedOn w:val="Normal"/>
    <w:next w:val="Firstparagraph"/>
    <w:link w:val="Cmsor2Char"/>
    <w:qFormat/>
    <w:pPr>
      <w:keepNext w:val="true"/>
      <w:keepLines/>
      <w:numPr>
        <w:ilvl w:val="1"/>
        <w:numId w:val="1"/>
      </w:numPr>
      <w:spacing w:before="480" w:after="240"/>
      <w:ind w:hanging="431" w:start="431"/>
      <w:outlineLvl w:val="1"/>
    </w:pPr>
    <w:rPr>
      <w:rFonts w:eastAsia="Calibri" w:cs="Tahoma"/>
      <w:b/>
      <w:color w:themeColor="dark1" w:val="000000"/>
      <w:szCs w:val="26"/>
    </w:rPr>
  </w:style>
  <w:style w:type="paragraph" w:styleId="Heading3">
    <w:name w:val="heading 3"/>
    <w:basedOn w:val="Normal"/>
    <w:next w:val="Firstparagraph"/>
    <w:link w:val="Cmsor3Char"/>
    <w:qFormat/>
    <w:pPr>
      <w:keepNext w:val="true"/>
      <w:keepLines/>
      <w:numPr>
        <w:ilvl w:val="2"/>
        <w:numId w:val="1"/>
      </w:numPr>
      <w:spacing w:before="480" w:after="240"/>
      <w:ind w:hanging="505" w:start="505"/>
      <w:outlineLvl w:val="2"/>
    </w:pPr>
    <w:rPr>
      <w:rFonts w:eastAsia="Calibri" w:cs="Tahoma"/>
      <w:b/>
      <w:color w:themeColor="dark1" w:val="000000"/>
      <w:szCs w:val="24"/>
    </w:rPr>
  </w:style>
  <w:style w:type="paragraph" w:styleId="Heading4">
    <w:name w:val="heading 4"/>
    <w:basedOn w:val="Heading3"/>
    <w:next w:val="Firstparagraph"/>
    <w:link w:val="Cmsor4Char"/>
    <w:qFormat/>
    <w:pPr>
      <w:numPr>
        <w:ilvl w:val="3"/>
        <w:numId w:val="1"/>
      </w:numPr>
      <w:spacing w:before="40" w:after="240"/>
      <w:ind w:hanging="851" w:start="851"/>
      <w:outlineLvl w:val="3"/>
    </w:pPr>
    <w:rPr>
      <w:iCs/>
    </w:rPr>
  </w:style>
  <w:style w:type="character" w:styleId="DefaultParagraphFont">
    <w:name w:val="Default Paragraph Font"/>
    <w:qFormat/>
    <w:rPr/>
  </w:style>
  <w:style w:type="character" w:styleId="Cmsor1Char">
    <w:name w:val="Címsor 1 Char"/>
    <w:basedOn w:val="DefaultParagraphFont"/>
    <w:qFormat/>
    <w:rPr>
      <w:rFonts w:ascii="Times New Roman" w:hAnsi="Times New Roman" w:eastAsia="Calibri" w:cs="Tahoma"/>
      <w:b/>
      <w:color w:themeColor="dark1" w:val="000000"/>
      <w:sz w:val="28"/>
      <w:szCs w:val="32"/>
    </w:rPr>
  </w:style>
  <w:style w:type="character" w:styleId="Cmsor2Char">
    <w:name w:val="Címsor 2 Char"/>
    <w:basedOn w:val="DefaultParagraphFont"/>
    <w:qFormat/>
    <w:rPr>
      <w:rFonts w:ascii="Times New Roman" w:hAnsi="Times New Roman" w:eastAsia="Calibri" w:cs="Tahoma"/>
      <w:b/>
      <w:color w:themeColor="dark1" w:val="000000"/>
      <w:sz w:val="24"/>
      <w:szCs w:val="26"/>
    </w:rPr>
  </w:style>
  <w:style w:type="character" w:styleId="Cmsor3Char">
    <w:name w:val="Címsor 3 Char"/>
    <w:basedOn w:val="DefaultParagraphFont"/>
    <w:qFormat/>
    <w:rPr>
      <w:rFonts w:ascii="Times New Roman" w:hAnsi="Times New Roman" w:eastAsia="Calibri" w:cs="Tahoma"/>
      <w:b/>
      <w:color w:themeColor="dark1" w:val="000000"/>
      <w:sz w:val="24"/>
      <w:szCs w:val="24"/>
    </w:rPr>
  </w:style>
  <w:style w:type="character" w:styleId="llbChar">
    <w:name w:val="Élőláb Char"/>
    <w:basedOn w:val="DefaultParagraphFont"/>
    <w:qFormat/>
    <w:rPr>
      <w:rFonts w:cs="Calibri"/>
    </w:rPr>
  </w:style>
  <w:style w:type="character" w:styleId="lfejChar">
    <w:name w:val="Élőfej Char"/>
    <w:basedOn w:val="DefaultParagraphFont"/>
    <w:qFormat/>
    <w:rPr/>
  </w:style>
  <w:style w:type="character" w:styleId="Hyperlink">
    <w:name w:val="Hyperlink"/>
    <w:basedOn w:val="DefaultParagraphFont"/>
    <w:rPr>
      <w:color w:themeColor="hyperlink" w:val="0563C1"/>
      <w:u w:val="single"/>
    </w:rPr>
  </w:style>
  <w:style w:type="character" w:styleId="PlaceholderText">
    <w:name w:val="Placeholder Text"/>
    <w:basedOn w:val="DefaultParagraphFont"/>
    <w:qFormat/>
    <w:rPr>
      <w:color w:val="808080"/>
    </w:rPr>
  </w:style>
  <w:style w:type="character" w:styleId="CmChar">
    <w:name w:val="Cím Char"/>
    <w:basedOn w:val="DefaultParagraphFont"/>
    <w:qFormat/>
    <w:rPr>
      <w:rFonts w:ascii="Times New Roman" w:hAnsi="Times New Roman" w:eastAsia="Calibri" w:cs="Tahoma"/>
      <w:b/>
      <w:kern w:val="2"/>
      <w:sz w:val="28"/>
      <w:szCs w:val="56"/>
    </w:rPr>
  </w:style>
  <w:style w:type="character" w:styleId="Title1Char">
    <w:name w:val="Title1 Char"/>
    <w:basedOn w:val="DefaultParagraphFont"/>
    <w:link w:val="Title1"/>
    <w:qFormat/>
    <w:rPr>
      <w:rFonts w:ascii="Times New Roman" w:hAnsi="Times New Roman" w:eastAsia="Calibri" w:cs="Tahoma"/>
      <w:b/>
      <w:kern w:val="2"/>
      <w:sz w:val="28"/>
      <w:szCs w:val="56"/>
      <w:lang w:val="en-GB"/>
    </w:rPr>
  </w:style>
  <w:style w:type="character" w:styleId="TJ1Char">
    <w:name w:val="TJ 1 Char"/>
    <w:basedOn w:val="DefaultParagraphFont"/>
    <w:qFormat/>
    <w:rPr>
      <w:rFonts w:ascii="Times New Roman" w:hAnsi="Times New Roman" w:cs="Calibri"/>
      <w:b/>
      <w:bCs/>
      <w:sz w:val="24"/>
      <w:szCs w:val="20"/>
    </w:rPr>
  </w:style>
  <w:style w:type="character" w:styleId="ContentsChar">
    <w:name w:val="Contents Char"/>
    <w:basedOn w:val="TJ1Char"/>
    <w:link w:val="Contents"/>
    <w:qFormat/>
    <w:rPr>
      <w:rFonts w:ascii="Times New Roman" w:hAnsi="Times New Roman" w:cs="Times New Roman"/>
      <w:b w:val="false"/>
      <w:bCs/>
      <w:caps/>
      <w:sz w:val="24"/>
      <w:szCs w:val="24"/>
    </w:rPr>
  </w:style>
  <w:style w:type="character" w:styleId="Cmsor4Char">
    <w:name w:val="Címsor 4 Char"/>
    <w:basedOn w:val="DefaultParagraphFont"/>
    <w:qFormat/>
    <w:rPr>
      <w:rFonts w:ascii="Times New Roman" w:hAnsi="Times New Roman" w:eastAsia="Calibri" w:cs="Tahoma"/>
      <w:b/>
      <w:iCs/>
      <w:color w:themeColor="dark1" w:val="000000"/>
      <w:sz w:val="24"/>
      <w:szCs w:val="24"/>
    </w:rPr>
  </w:style>
  <w:style w:type="character" w:styleId="FirstparagraphChar">
    <w:name w:val="First paragraph Char"/>
    <w:basedOn w:val="DefaultParagraphFont"/>
    <w:link w:val="Firstparagraph"/>
    <w:qFormat/>
    <w:rPr>
      <w:rFonts w:ascii="Times New Roman" w:hAnsi="Times New Roman"/>
      <w:sz w:val="24"/>
    </w:rPr>
  </w:style>
  <w:style w:type="character" w:styleId="AlcmChar">
    <w:name w:val="Alcím Char"/>
    <w:basedOn w:val="DefaultParagraphFont"/>
    <w:qFormat/>
    <w:rPr>
      <w:rFonts w:ascii="Times New Roman" w:hAnsi="Times New Roman" w:eastAsia="Calibri" w:cs="Tahoma"/>
      <w:b/>
      <w:spacing w:val="15"/>
      <w:kern w:val="2"/>
      <w:sz w:val="28"/>
      <w:szCs w:val="56"/>
    </w:rPr>
  </w:style>
  <w:style w:type="character" w:styleId="CsakszvegChar">
    <w:name w:val="Csak szöveg Char"/>
    <w:basedOn w:val="DefaultParagraphFont"/>
    <w:link w:val="PlainText"/>
    <w:qFormat/>
    <w:rPr>
      <w:rFonts w:ascii="Consolas" w:hAnsi="Consolas"/>
      <w:sz w:val="21"/>
      <w:szCs w:val="21"/>
    </w:rPr>
  </w:style>
  <w:style w:type="character" w:styleId="LbjegyzetszvegChar">
    <w:name w:val="Lábjegyzetszöveg Char"/>
    <w:basedOn w:val="DefaultParagraphFont"/>
    <w:qFormat/>
    <w:rPr>
      <w:rFonts w:ascii="Times New Roman" w:hAnsi="Times New Roman"/>
      <w:sz w:val="20"/>
      <w:szCs w:val="20"/>
    </w:rPr>
  </w:style>
  <w:style w:type="character" w:styleId="Lbjegyzet-karakterekuser">
    <w:name w:val="Lábjegyzet-karakterek (user)"/>
    <w:qFormat/>
    <w:rPr>
      <w:vertAlign w:val="superscript"/>
    </w:rPr>
  </w:style>
  <w:style w:type="character" w:styleId="Lbjegyzet-karakterek">
    <w:name w:val="Lábjegyzet-karakterek"/>
    <w:qFormat/>
    <w:rPr>
      <w:vertAlign w:val="superscript"/>
    </w:rPr>
  </w:style>
  <w:style w:type="character" w:styleId="FootnoteReference">
    <w:name w:val="footnote reference"/>
    <w:rPr>
      <w:vertAlign w:val="superscript"/>
    </w:rPr>
  </w:style>
  <w:style w:type="character" w:styleId="Cmsor1-szmozatlanChar">
    <w:name w:val="Címsor 1 - számozatlan Char"/>
    <w:basedOn w:val="Title1Char"/>
    <w:link w:val="Cmsor1-szmozatlan"/>
    <w:qFormat/>
    <w:rPr>
      <w:rFonts w:ascii="Times New Roman" w:hAnsi="Times New Roman" w:eastAsia="Calibri" w:cs="Tahoma"/>
      <w:b/>
      <w:color w:themeColor="dark1" w:val="000000"/>
      <w:kern w:val="2"/>
      <w:sz w:val="28"/>
      <w:szCs w:val="32"/>
      <w:lang w:val="en-GB"/>
    </w:rPr>
  </w:style>
  <w:style w:type="character" w:styleId="Jegyzkhivatkozsuser">
    <w:name w:val="Jegyzékhivatkozás (user)"/>
    <w:qFormat/>
    <w:rPr/>
  </w:style>
  <w:style w:type="character" w:styleId="Jegyzkhivatkozs">
    <w:name w:val="Jegyzékhivatkozás"/>
    <w:qFormat/>
    <w:rPr/>
  </w:style>
  <w:style w:type="paragraph" w:styleId="Cmsor">
    <w:name w:val="Címsor"/>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before="0" w:after="200"/>
      <w:jc w:val="center"/>
    </w:pPr>
    <w:rPr>
      <w:rFonts w:cs="Calibri"/>
      <w:i/>
      <w:iCs/>
      <w:szCs w:val="24"/>
    </w:rPr>
  </w:style>
  <w:style w:type="paragraph" w:styleId="Trgymutat">
    <w:name w:val="Tárgymutató"/>
    <w:basedOn w:val="Normal"/>
    <w:qFormat/>
    <w:pPr>
      <w:suppressLineNumbers/>
    </w:pPr>
    <w:rPr>
      <w:rFonts w:cs="Lucida Sans"/>
    </w:rPr>
  </w:style>
  <w:style w:type="paragraph" w:styleId="Cmsoruser">
    <w:name w:val="Címsor (user)"/>
    <w:basedOn w:val="Normal"/>
    <w:next w:val="BodyText"/>
    <w:qFormat/>
    <w:pPr>
      <w:keepNext w:val="true"/>
      <w:spacing w:before="240" w:after="120"/>
    </w:pPr>
    <w:rPr>
      <w:rFonts w:ascii="Liberation Sans" w:hAnsi="Liberation Sans" w:eastAsia="Microsoft YaHei" w:cs="Lucida Sans"/>
      <w:sz w:val="28"/>
      <w:szCs w:val="28"/>
    </w:rPr>
  </w:style>
  <w:style w:type="paragraph" w:styleId="Trgymutatuser">
    <w:name w:val="Tárgymutató (user)"/>
    <w:basedOn w:val="Normal"/>
    <w:qFormat/>
    <w:pPr>
      <w:suppressLineNumbers/>
    </w:pPr>
    <w:rPr>
      <w:rFonts w:cs="Lucida Sans"/>
    </w:rPr>
  </w:style>
  <w:style w:type="paragraph" w:styleId="lfejsllbuser">
    <w:name w:val="Élőfej és élőláb (user)"/>
    <w:basedOn w:val="Normal"/>
    <w:qFormat/>
    <w:pPr/>
    <w:rPr/>
  </w:style>
  <w:style w:type="paragraph" w:styleId="lfejsllb">
    <w:name w:val="Élőfej és élőláb"/>
    <w:basedOn w:val="Normal"/>
    <w:qFormat/>
    <w:pPr/>
    <w:rPr/>
  </w:style>
  <w:style w:type="paragraph" w:styleId="Footer">
    <w:name w:val="footer"/>
    <w:basedOn w:val="Normal"/>
    <w:link w:val="llbChar"/>
    <w:pPr>
      <w:tabs>
        <w:tab w:val="clear" w:pos="709"/>
        <w:tab w:val="center" w:pos="4536" w:leader="none"/>
        <w:tab w:val="right" w:pos="9072" w:leader="none"/>
      </w:tabs>
      <w:spacing w:lineRule="auto" w:line="240"/>
    </w:pPr>
    <w:rPr>
      <w:rFonts w:cs="Calibri"/>
    </w:rPr>
  </w:style>
  <w:style w:type="paragraph" w:styleId="Header">
    <w:name w:val="header"/>
    <w:basedOn w:val="Normal"/>
    <w:link w:val="lfejChar"/>
    <w:pPr>
      <w:tabs>
        <w:tab w:val="clear" w:pos="709"/>
        <w:tab w:val="center" w:pos="4536" w:leader="none"/>
        <w:tab w:val="right" w:pos="9072" w:leader="none"/>
      </w:tabs>
      <w:spacing w:lineRule="auto" w:line="240"/>
    </w:pPr>
    <w:rPr/>
  </w:style>
  <w:style w:type="paragraph" w:styleId="TOC1">
    <w:name w:val="toc 1"/>
    <w:basedOn w:val="Normal"/>
    <w:next w:val="Normal"/>
    <w:link w:val="TJ1Char"/>
    <w:autoRedefine/>
    <w:pPr>
      <w:tabs>
        <w:tab w:val="clear" w:pos="709"/>
        <w:tab w:val="left" w:pos="567" w:leader="none"/>
        <w:tab w:val="right" w:pos="8503" w:leader="dot"/>
      </w:tabs>
      <w:spacing w:before="120" w:after="120"/>
      <w:ind w:hanging="0"/>
    </w:pPr>
    <w:rPr>
      <w:rFonts w:cs="Calibri"/>
      <w:b/>
      <w:bCs/>
      <w:szCs w:val="20"/>
    </w:rPr>
  </w:style>
  <w:style w:type="paragraph" w:styleId="TOC2">
    <w:name w:val="toc 2"/>
    <w:basedOn w:val="Normal"/>
    <w:next w:val="Normal"/>
    <w:autoRedefine/>
    <w:pPr>
      <w:tabs>
        <w:tab w:val="clear" w:pos="709"/>
        <w:tab w:val="left" w:pos="788" w:leader="none"/>
        <w:tab w:val="right" w:pos="9016" w:leader="dot"/>
      </w:tabs>
      <w:ind w:hanging="0" w:start="221"/>
    </w:pPr>
    <w:rPr>
      <w:rFonts w:cs="Calibri"/>
      <w:szCs w:val="20"/>
    </w:rPr>
  </w:style>
  <w:style w:type="paragraph" w:styleId="TOC3">
    <w:name w:val="toc 3"/>
    <w:basedOn w:val="Normal"/>
    <w:next w:val="Normal"/>
    <w:autoRedefine/>
    <w:pPr>
      <w:tabs>
        <w:tab w:val="clear" w:pos="709"/>
        <w:tab w:val="left" w:pos="1276" w:leader="none"/>
        <w:tab w:val="right" w:pos="9016" w:leader="dot"/>
      </w:tabs>
      <w:ind w:hanging="0" w:start="442"/>
    </w:pPr>
    <w:rPr>
      <w:rFonts w:cs="Times New Roman"/>
      <w:iCs/>
      <w:szCs w:val="20"/>
    </w:rPr>
  </w:style>
  <w:style w:type="paragraph" w:styleId="TOC4">
    <w:name w:val="toc 4"/>
    <w:basedOn w:val="Normal"/>
    <w:next w:val="Normal"/>
    <w:autoRedefine/>
    <w:pPr>
      <w:tabs>
        <w:tab w:val="clear" w:pos="709"/>
        <w:tab w:val="left" w:pos="1560" w:leader="none"/>
        <w:tab w:val="right" w:pos="9016" w:leader="dot"/>
      </w:tabs>
      <w:ind w:hanging="0" w:start="658"/>
    </w:pPr>
    <w:rPr>
      <w:rFonts w:cs="Calibri"/>
      <w:szCs w:val="18"/>
    </w:rPr>
  </w:style>
  <w:style w:type="paragraph" w:styleId="TOC5">
    <w:name w:val="toc 5"/>
    <w:basedOn w:val="Normal"/>
    <w:next w:val="Normal"/>
    <w:autoRedefine/>
    <w:pPr>
      <w:ind w:start="880"/>
    </w:pPr>
    <w:rPr>
      <w:rFonts w:cs="Calibri"/>
      <w:sz w:val="18"/>
      <w:szCs w:val="18"/>
    </w:rPr>
  </w:style>
  <w:style w:type="paragraph" w:styleId="TOC6">
    <w:name w:val="toc 6"/>
    <w:basedOn w:val="Normal"/>
    <w:next w:val="Normal"/>
    <w:autoRedefine/>
    <w:pPr>
      <w:ind w:start="1100"/>
    </w:pPr>
    <w:rPr>
      <w:rFonts w:cs="Calibri"/>
      <w:sz w:val="18"/>
      <w:szCs w:val="18"/>
    </w:rPr>
  </w:style>
  <w:style w:type="paragraph" w:styleId="TOC7">
    <w:name w:val="toc 7"/>
    <w:basedOn w:val="Normal"/>
    <w:next w:val="Normal"/>
    <w:autoRedefine/>
    <w:pPr>
      <w:ind w:start="1320"/>
    </w:pPr>
    <w:rPr>
      <w:rFonts w:cs="Calibri"/>
      <w:sz w:val="18"/>
      <w:szCs w:val="18"/>
    </w:rPr>
  </w:style>
  <w:style w:type="paragraph" w:styleId="TOC8">
    <w:name w:val="toc 8"/>
    <w:basedOn w:val="Normal"/>
    <w:next w:val="Normal"/>
    <w:autoRedefine/>
    <w:pPr>
      <w:ind w:start="1540"/>
    </w:pPr>
    <w:rPr>
      <w:rFonts w:cs="Calibri"/>
      <w:sz w:val="18"/>
      <w:szCs w:val="18"/>
    </w:rPr>
  </w:style>
  <w:style w:type="paragraph" w:styleId="TOC9">
    <w:name w:val="toc 9"/>
    <w:basedOn w:val="Normal"/>
    <w:next w:val="Normal"/>
    <w:autoRedefine/>
    <w:pPr>
      <w:ind w:start="1760"/>
    </w:pPr>
    <w:rPr>
      <w:rFonts w:cs="Calibri"/>
      <w:sz w:val="18"/>
      <w:szCs w:val="18"/>
    </w:rPr>
  </w:style>
  <w:style w:type="paragraph" w:styleId="Bibliography">
    <w:name w:val="Bibliography"/>
    <w:basedOn w:val="Normal"/>
    <w:next w:val="Normal"/>
    <w:autoRedefine/>
    <w:qFormat/>
    <w:pPr>
      <w:ind w:hanging="0"/>
    </w:pPr>
    <w:rPr/>
  </w:style>
  <w:style w:type="paragraph" w:styleId="ListParagraph">
    <w:name w:val="List Paragraph"/>
    <w:basedOn w:val="Normal"/>
    <w:qFormat/>
    <w:pPr>
      <w:numPr>
        <w:ilvl w:val="0"/>
        <w:numId w:val="3"/>
      </w:numPr>
      <w:spacing w:before="0" w:after="0"/>
      <w:contextualSpacing/>
    </w:pPr>
    <w:rPr/>
  </w:style>
  <w:style w:type="paragraph" w:styleId="TableofFigures">
    <w:name w:val="table of figures"/>
    <w:basedOn w:val="Normal"/>
    <w:next w:val="Normal"/>
    <w:pPr>
      <w:ind w:hanging="0"/>
    </w:pPr>
    <w:rPr/>
  </w:style>
  <w:style w:type="paragraph" w:styleId="NoSpacing">
    <w:name w:val="No Spacing"/>
    <w:qFormat/>
    <w:pPr>
      <w:widowControl/>
      <w:suppressAutoHyphens w:val="true"/>
      <w:overflowPunct w:val="false"/>
      <w:bidi w:val="0"/>
      <w:spacing w:lineRule="auto" w:line="240" w:before="0" w:after="0"/>
      <w:jc w:val="start"/>
    </w:pPr>
    <w:rPr>
      <w:rFonts w:ascii="Times New Roman" w:hAnsi="Times New Roman" w:eastAsia="Calibri" w:cs="Tahoma"/>
      <w:color w:val="auto"/>
      <w:kern w:val="0"/>
      <w:sz w:val="24"/>
      <w:szCs w:val="22"/>
      <w:lang w:val="hu-HU" w:eastAsia="en-US" w:bidi="ar-SA"/>
    </w:rPr>
  </w:style>
  <w:style w:type="paragraph" w:styleId="Title">
    <w:name w:val="Title"/>
    <w:basedOn w:val="Normal"/>
    <w:next w:val="Normal"/>
    <w:link w:val="CmChar"/>
    <w:qFormat/>
    <w:pPr>
      <w:pageBreakBefore/>
      <w:spacing w:lineRule="auto" w:line="240" w:before="0" w:after="360"/>
      <w:ind w:hanging="0"/>
      <w:contextualSpacing/>
      <w:jc w:val="center"/>
    </w:pPr>
    <w:rPr>
      <w:rFonts w:eastAsia="Calibri" w:cs="Tahoma"/>
      <w:b/>
      <w:kern w:val="2"/>
      <w:sz w:val="28"/>
      <w:szCs w:val="56"/>
    </w:rPr>
  </w:style>
  <w:style w:type="paragraph" w:styleId="Title1">
    <w:name w:val="Title1"/>
    <w:basedOn w:val="Title"/>
    <w:next w:val="Firstparagraph"/>
    <w:link w:val="Title1Char"/>
    <w:autoRedefine/>
    <w:qFormat/>
    <w:pPr>
      <w:spacing w:lineRule="auto" w:line="360" w:before="0" w:after="480"/>
      <w:contextualSpacing/>
    </w:pPr>
    <w:rPr>
      <w:lang w:val="en-GB"/>
    </w:rPr>
  </w:style>
  <w:style w:type="paragraph" w:styleId="Contents">
    <w:name w:val="Contents"/>
    <w:basedOn w:val="TOC1"/>
    <w:link w:val="ContentsChar"/>
    <w:qFormat/>
    <w:pPr>
      <w:widowControl w:val="false"/>
      <w:tabs>
        <w:tab w:val="left" w:pos="440" w:leader="none"/>
        <w:tab w:val="right" w:pos="9016" w:leader="dot"/>
      </w:tabs>
      <w:spacing w:lineRule="auto" w:line="240"/>
      <w:jc w:val="start"/>
    </w:pPr>
    <w:rPr>
      <w:rFonts w:cs="Times New Roman"/>
      <w:b w:val="false"/>
      <w:caps/>
      <w:szCs w:val="24"/>
    </w:rPr>
  </w:style>
  <w:style w:type="paragraph" w:styleId="Firstparagraph">
    <w:name w:val="First paragraph"/>
    <w:basedOn w:val="Normal"/>
    <w:next w:val="Normal"/>
    <w:link w:val="FirstparagraphChar"/>
    <w:qFormat/>
    <w:pPr>
      <w:ind w:hanging="0"/>
    </w:pPr>
    <w:rPr/>
  </w:style>
  <w:style w:type="paragraph" w:styleId="Subtitle">
    <w:name w:val="Subtitle"/>
    <w:basedOn w:val="Title"/>
    <w:next w:val="Normal"/>
    <w:link w:val="AlcmChar"/>
    <w:qFormat/>
    <w:pPr>
      <w:spacing w:before="0" w:after="160"/>
      <w:contextualSpacing/>
    </w:pPr>
    <w:rPr>
      <w:rFonts w:eastAsia="Calibri"/>
      <w:spacing w:val="15"/>
    </w:rPr>
  </w:style>
  <w:style w:type="paragraph" w:styleId="PlainText">
    <w:name w:val="Plain Text"/>
    <w:basedOn w:val="Normal"/>
    <w:link w:val="CsakszvegChar"/>
    <w:qFormat/>
    <w:pPr>
      <w:spacing w:lineRule="auto" w:line="240"/>
      <w:ind w:hanging="0"/>
      <w:jc w:val="start"/>
    </w:pPr>
    <w:rPr>
      <w:rFonts w:ascii="Consolas" w:hAnsi="Consolas"/>
      <w:sz w:val="21"/>
      <w:szCs w:val="21"/>
    </w:rPr>
  </w:style>
  <w:style w:type="paragraph" w:styleId="IndexHeading">
    <w:name w:val="index heading"/>
    <w:basedOn w:val="Cmsoruser"/>
    <w:pPr/>
    <w:rPr/>
  </w:style>
  <w:style w:type="paragraph" w:styleId="TOCHeading">
    <w:name w:val="TOC Heading"/>
    <w:basedOn w:val="Heading1"/>
    <w:next w:val="Normal"/>
    <w:qFormat/>
    <w:pPr>
      <w:numPr>
        <w:ilvl w:val="0"/>
        <w:numId w:val="0"/>
      </w:numPr>
      <w:spacing w:lineRule="auto" w:line="259" w:before="240" w:after="0"/>
      <w:ind w:hanging="357" w:start="357"/>
      <w:jc w:val="start"/>
      <w:outlineLvl w:val="9"/>
    </w:pPr>
    <w:rPr>
      <w:rFonts w:ascii="Calibri Light" w:hAnsi="Calibri Light"/>
      <w:b w:val="false"/>
      <w:color w:themeColor="accent1" w:themeShade="bf" w:val="2E74B5"/>
      <w:sz w:val="32"/>
      <w:lang w:eastAsia="hu-HU"/>
    </w:rPr>
  </w:style>
  <w:style w:type="paragraph" w:styleId="FootnoteText">
    <w:name w:val="footnote text"/>
    <w:basedOn w:val="Normal"/>
    <w:link w:val="LbjegyzetszvegChar"/>
    <w:pPr>
      <w:spacing w:lineRule="auto" w:line="240"/>
    </w:pPr>
    <w:rPr>
      <w:sz w:val="20"/>
      <w:szCs w:val="20"/>
    </w:rPr>
  </w:style>
  <w:style w:type="paragraph" w:styleId="Cmsor1-szmozatlan">
    <w:name w:val="Címsor 1 - számozatlan"/>
    <w:basedOn w:val="Heading1"/>
    <w:next w:val="Firstparagraph"/>
    <w:link w:val="Cmsor1-szmozatlanChar"/>
    <w:qFormat/>
    <w:pPr>
      <w:pageBreakBefore/>
      <w:numPr>
        <w:ilvl w:val="0"/>
        <w:numId w:val="0"/>
      </w:numPr>
      <w:ind w:hanging="357" w:start="357"/>
    </w:pPr>
    <w:rPr/>
  </w:style>
  <w:style w:type="paragraph" w:styleId="Tblzattartalomuser">
    <w:name w:val="Táblázattartalom (user)"/>
    <w:basedOn w:val="Normal"/>
    <w:qFormat/>
    <w:pPr>
      <w:widowControl w:val="false"/>
      <w:suppressLineNumbers/>
    </w:pPr>
    <w:rPr/>
  </w:style>
  <w:style w:type="numbering" w:styleId="Nincslistauser">
    <w:name w:val="Nincs lista (user)"/>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téma">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tanev_felev_nev_neptunkod_Szakdolgozat_VP_v7.dotx</Template>
  <TotalTime>39</TotalTime>
  <Application>LibreOffice/26.2.5.2$Windows_X86_64 LibreOffice_project/cd7284b4cbbfeb507e630c1aac019f4157393acb</Application>
  <AppVersion>15.0000</AppVersion>
  <Pages>21</Pages>
  <Words>2862</Words>
  <Characters>20035</Characters>
  <CharactersWithSpaces>22655</CharactersWithSpaces>
  <Paragraphs>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2024-11-23T11:04:00Z</dcterms:created>
  <dc:creator>Roland HP</dc:creator>
  <dc:description/>
  <dc:language>hu-HU</dc:language>
  <cp:lastModifiedBy/>
  <dcterms:modified xsi:type="dcterms:W3CDTF">2026-09-22T11:54:05Z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