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4"/>
        <w:jc w:val="center"/>
      </w:pPr>
      <w:r>
        <w:rPr>
          <w:rFonts w:ascii="Times New Roman" w:cs="Times New Roman" w:eastAsia="Times New Roman" w:hAnsi="Times New Roman"/>
          <w:b/>
          <w:bCs/>
          <w:spacing w:val="20"/>
          <w:sz w:val="38"/>
          <w:szCs w:val="38"/>
        </w:rPr>
        <w:t xml:space="preserve">ARYA K. RAVI</w:t>
      </w:r>
    </w:p>
    <w:p>
      <w:pPr>
        <w:spacing w:after="24"/>
        <w:jc w:val="center"/>
      </w:pPr>
      <w:r>
        <w:rPr>
          <w:rFonts w:ascii="Times New Roman" w:cs="Times New Roman" w:eastAsia="Times New Roman" w:hAnsi="Times New Roman"/>
          <w:color w:val="000000"/>
          <w:sz w:val="16"/>
          <w:szCs w:val="16"/>
        </w:rPr>
        <w:t xml:space="preserve">akr24698@gmail.com  |  +91 8075164027  |  linkedin.com/in/akr246  |  akr246.github.io  |  credly.com/users/arya-k-ravi</w:t>
      </w:r>
    </w:p>
    <w:p>
      <w:pPr>
        <w:spacing w:after="50"/>
        <w:jc w:val="center"/>
      </w:pPr>
      <w:r>
        <w:rPr>
          <w:rFonts w:ascii="Times New Roman" w:cs="Times New Roman" w:eastAsia="Times New Roman" w:hAnsi="Times New Roman"/>
          <w:i/>
          <w:iCs/>
          <w:color w:val="000000"/>
          <w:sz w:val="17"/>
          <w:szCs w:val="17"/>
        </w:rPr>
        <w:t xml:space="preserve">Target role: Product Associate · also Associate Product Manager, Product Analyst</w:t>
      </w:r>
    </w:p>
    <w:p>
      <w:pPr>
        <w:pBdr>
          <w:bottom w:val="single" w:color="000000" w:sz="6"/>
        </w:pBdr>
        <w:spacing w:after="50" w:before="120"/>
      </w:pPr>
      <w:r>
        <w:rPr>
          <w:rFonts w:ascii="Times New Roman" w:cs="Times New Roman" w:eastAsia="Times New Roman" w:hAnsi="Times New Roman"/>
          <w:b/>
          <w:bCs/>
          <w:spacing w:val="8"/>
          <w:sz w:val="20"/>
          <w:szCs w:val="20"/>
        </w:rPr>
        <w:t xml:space="preserve">SUMMARY</w:t>
      </w:r>
    </w:p>
    <w:p>
      <w:pPr>
        <w:spacing w:after="34" w:before="0" w:line="206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Product professional with a psychology background and three years spanning product operations, technical programme management and AI training data. I have launched a product with ten cross-functional teams, written the spec and the metrics for one I built end to end, and spent a year close to how AI systems actually get trained. Strongest where a loose requirement has to become something a team can build. Currently completing an MBA in AI for Business at BITS Pilani.</w:t>
      </w:r>
    </w:p>
    <w:p>
      <w:pPr>
        <w:pBdr>
          <w:bottom w:val="single" w:color="000000" w:sz="6"/>
        </w:pBdr>
        <w:spacing w:after="50" w:before="120"/>
      </w:pPr>
      <w:r>
        <w:rPr>
          <w:rFonts w:ascii="Times New Roman" w:cs="Times New Roman" w:eastAsia="Times New Roman" w:hAnsi="Times New Roman"/>
          <w:b/>
          <w:bCs/>
          <w:spacing w:val="8"/>
          <w:sz w:val="20"/>
          <w:szCs w:val="20"/>
        </w:rPr>
        <w:t xml:space="preserve">CORE COMPETENCIES</w:t>
      </w:r>
    </w:p>
    <w:p>
      <w:pPr>
        <w:spacing w:after="34" w:before="0" w:line="206"/>
      </w:pPr>
      <w:r>
        <w:rPr>
          <w:rFonts w:ascii="Times New Roman" w:cs="Times New Roman" w:eastAsia="Times New Roman" w:hAnsi="Times New Roman"/>
          <w:b/>
          <w:bCs/>
          <w:color w:val="000000"/>
          <w:sz w:val="18"/>
          <w:szCs w:val="18"/>
        </w:rPr>
        <w:t xml:space="preserve">Product:  </w:t>
      </w: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Product launch and go-to-market, requirements gathering, PRD writing, user and market analysis, A/B testing, roadmap input, KPI definition.</w:t>
      </w:r>
    </w:p>
    <w:p>
      <w:pPr>
        <w:spacing w:after="34" w:before="0" w:line="206"/>
      </w:pPr>
      <w:r>
        <w:rPr>
          <w:rFonts w:ascii="Times New Roman" w:cs="Times New Roman" w:eastAsia="Times New Roman" w:hAnsi="Times New Roman"/>
          <w:b/>
          <w:bCs/>
          <w:color w:val="000000"/>
          <w:sz w:val="18"/>
          <w:szCs w:val="18"/>
        </w:rPr>
        <w:t xml:space="preserve">Delivery:  </w:t>
      </w: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Cross-functional coordination across 10+ teams, technical programme management, stakeholder reporting, SOP documentation.</w:t>
      </w:r>
    </w:p>
    <w:p>
      <w:pPr>
        <w:spacing w:after="34" w:before="0" w:line="206"/>
      </w:pPr>
      <w:r>
        <w:rPr>
          <w:rFonts w:ascii="Times New Roman" w:cs="Times New Roman" w:eastAsia="Times New Roman" w:hAnsi="Times New Roman"/>
          <w:b/>
          <w:bCs/>
          <w:color w:val="000000"/>
          <w:sz w:val="18"/>
          <w:szCs w:val="18"/>
        </w:rPr>
        <w:t xml:space="preserve">Tools:  </w:t>
      </w: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SQL, Python, Tableau, Jira, Confluence, Salesforce, Figma, Snowflake, Azure OpenAI, generative-AI workflows.</w:t>
      </w:r>
    </w:p>
    <w:p>
      <w:pPr>
        <w:pBdr>
          <w:bottom w:val="single" w:color="000000" w:sz="6"/>
        </w:pBdr>
        <w:spacing w:after="50" w:before="120"/>
      </w:pPr>
      <w:r>
        <w:rPr>
          <w:rFonts w:ascii="Times New Roman" w:cs="Times New Roman" w:eastAsia="Times New Roman" w:hAnsi="Times New Roman"/>
          <w:b/>
          <w:bCs/>
          <w:spacing w:val="8"/>
          <w:sz w:val="20"/>
          <w:szCs w:val="20"/>
        </w:rPr>
        <w:t xml:space="preserve">EXPERIENCE</w:t>
      </w:r>
    </w:p>
    <w:p>
      <w:pPr>
        <w:tabs>
          <w:tab w:val="right" w:pos="10466"/>
        </w:tabs>
        <w:spacing w:after="24" w:before="72" w:line="206"/>
      </w:pPr>
      <w:r>
        <w:rPr>
          <w:rFonts w:ascii="Times New Roman" w:cs="Times New Roman" w:eastAsia="Times New Roman" w:hAnsi="Times New Roman"/>
          <w:b/>
          <w:bCs/>
          <w:color w:val="000000"/>
          <w:sz w:val="18"/>
          <w:szCs w:val="18"/>
        </w:rPr>
        <w:t xml:space="preserve">Trainee, Talent Transformation &amp; Leadership</w:t>
      </w: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 — </w:t>
      </w:r>
      <w:r>
        <w:rPr>
          <w:rFonts w:ascii="Times New Roman" w:cs="Times New Roman" w:eastAsia="Times New Roman" w:hAnsi="Times New Roman"/>
          <w:b/>
          <w:bCs/>
          <w:color w:val="000000"/>
          <w:sz w:val="18"/>
          <w:szCs w:val="18"/>
        </w:rPr>
        <w:t xml:space="preserve">Annalect India (Omnicom Group)</w:t>
      </w:r>
      <w:r>
        <w:rPr>
          <w:rFonts w:ascii="Times New Roman" w:cs="Times New Roman" w:eastAsia="Times New Roman" w:hAnsi="Times New Roman"/>
          <w:i/>
          <w:iCs/>
          <w:color w:val="000000"/>
          <w:sz w:val="18"/>
          <w:szCs w:val="18"/>
        </w:rPr>
        <w:t xml:space="preserve">  Bengaluru · Hybrid</w:t>
      </w: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	</w:t>
      </w:r>
      <w:r>
        <w:rPr>
          <w:rFonts w:ascii="Times New Roman" w:cs="Times New Roman" w:eastAsia="Times New Roman" w:hAnsi="Times New Roman"/>
          <w:i/>
          <w:iCs/>
          <w:color w:val="000000"/>
          <w:sz w:val="18"/>
          <w:szCs w:val="18"/>
        </w:rPr>
        <w:t xml:space="preserve">Nov 2023 – Jun 2024</w:t>
      </w:r>
    </w:p>
    <w:p>
      <w:pPr>
        <w:pStyle w:val="ListParagraph"/>
        <w:numPr>
          <w:ilvl w:val="0"/>
          <w:numId w:val="1"/>
        </w:numPr>
        <w:spacing w:after="26" w:before="0" w:line="206"/>
        <w:ind w:left="250" w:hanging="165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Launched a ride-hailing product for the underage rider segment with 10+ cross-functional teams; the opportunity analysis drove a 10% order increase in that demographic.</w:t>
      </w:r>
    </w:p>
    <w:p>
      <w:pPr>
        <w:pStyle w:val="ListParagraph"/>
        <w:numPr>
          <w:ilvl w:val="0"/>
          <w:numId w:val="1"/>
        </w:numPr>
        <w:spacing w:after="26" w:before="0" w:line="206"/>
        <w:ind w:left="250" w:hanging="165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Cut safety risk in high-risk scenarios by 30% using AI models and data-driven strategy, validated through ROI analysis and A/B testing.</w:t>
      </w:r>
    </w:p>
    <w:p>
      <w:pPr>
        <w:pStyle w:val="ListParagraph"/>
        <w:numPr>
          <w:ilvl w:val="0"/>
          <w:numId w:val="1"/>
        </w:numPr>
        <w:spacing w:after="26" w:before="0" w:line="206"/>
        <w:ind w:left="250" w:hanging="165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Built Tableau dashboards for go-to-market strategy that supported 10% growth in market reach for new product lines.</w:t>
      </w:r>
    </w:p>
    <w:p>
      <w:pPr>
        <w:pStyle w:val="ListParagraph"/>
        <w:numPr>
          <w:ilvl w:val="0"/>
          <w:numId w:val="1"/>
        </w:numPr>
        <w:spacing w:after="26" w:before="0" w:line="206"/>
        <w:ind w:left="250" w:hanging="165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Worked with engineering and design on new imaging tools, increasing incident resolution efficiency by 30%.</w:t>
      </w:r>
    </w:p>
    <w:p>
      <w:pPr>
        <w:tabs>
          <w:tab w:val="right" w:pos="10466"/>
        </w:tabs>
        <w:spacing w:after="24" w:before="72" w:line="206"/>
      </w:pPr>
      <w:r>
        <w:rPr>
          <w:rFonts w:ascii="Times New Roman" w:cs="Times New Roman" w:eastAsia="Times New Roman" w:hAnsi="Times New Roman"/>
          <w:b/>
          <w:bCs/>
          <w:color w:val="000000"/>
          <w:sz w:val="18"/>
          <w:szCs w:val="18"/>
        </w:rPr>
        <w:t xml:space="preserve">Technical Program Manager</w:t>
      </w: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 — </w:t>
      </w:r>
      <w:r>
        <w:rPr>
          <w:rFonts w:ascii="Times New Roman" w:cs="Times New Roman" w:eastAsia="Times New Roman" w:hAnsi="Times New Roman"/>
          <w:b/>
          <w:bCs/>
          <w:color w:val="000000"/>
          <w:sz w:val="18"/>
          <w:szCs w:val="18"/>
        </w:rPr>
        <w:t xml:space="preserve">Align Technē</w:t>
      </w:r>
      <w:r>
        <w:rPr>
          <w:rFonts w:ascii="Times New Roman" w:cs="Times New Roman" w:eastAsia="Times New Roman" w:hAnsi="Times New Roman"/>
          <w:i/>
          <w:iCs/>
          <w:color w:val="000000"/>
          <w:sz w:val="18"/>
          <w:szCs w:val="18"/>
        </w:rPr>
        <w:t xml:space="preserve">  Bengaluru</w:t>
      </w: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	</w:t>
      </w:r>
      <w:r>
        <w:rPr>
          <w:rFonts w:ascii="Times New Roman" w:cs="Times New Roman" w:eastAsia="Times New Roman" w:hAnsi="Times New Roman"/>
          <w:i/>
          <w:iCs/>
          <w:color w:val="000000"/>
          <w:sz w:val="18"/>
          <w:szCs w:val="18"/>
        </w:rPr>
        <w:t xml:space="preserve">Jul 2024 – Jan 2025</w:t>
      </w:r>
    </w:p>
    <w:p>
      <w:pPr>
        <w:pStyle w:val="ListParagraph"/>
        <w:numPr>
          <w:ilvl w:val="0"/>
          <w:numId w:val="1"/>
        </w:numPr>
        <w:spacing w:after="26" w:before="0" w:line="206"/>
        <w:ind w:left="250" w:hanging="165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Deployed an Azure OpenAI chatbot for 500+ stakeholders, cutting information retrieval from around three minutes to seconds.</w:t>
      </w:r>
    </w:p>
    <w:p>
      <w:pPr>
        <w:pStyle w:val="ListParagraph"/>
        <w:numPr>
          <w:ilvl w:val="0"/>
          <w:numId w:val="1"/>
        </w:numPr>
        <w:spacing w:after="26" w:before="0" w:line="206"/>
        <w:ind w:left="250" w:hanging="165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Automated billing workflows by querying and unloading SAP BW data from Snowflake into AWS S3 with SQL, improving operational efficiency by 20%.</w:t>
      </w:r>
    </w:p>
    <w:p>
      <w:pPr>
        <w:pStyle w:val="ListParagraph"/>
        <w:numPr>
          <w:ilvl w:val="0"/>
          <w:numId w:val="1"/>
        </w:numPr>
        <w:spacing w:after="26" w:before="0" w:line="206"/>
        <w:ind w:left="250" w:hanging="165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Centralised master data for 200+ materials, streamlining global supply-chain processes.</w:t>
      </w:r>
    </w:p>
    <w:p>
      <w:pPr>
        <w:tabs>
          <w:tab w:val="right" w:pos="10466"/>
        </w:tabs>
        <w:spacing w:after="24" w:before="72" w:line="206"/>
      </w:pPr>
      <w:r>
        <w:rPr>
          <w:rFonts w:ascii="Times New Roman" w:cs="Times New Roman" w:eastAsia="Times New Roman" w:hAnsi="Times New Roman"/>
          <w:b/>
          <w:bCs/>
          <w:color w:val="000000"/>
          <w:sz w:val="18"/>
          <w:szCs w:val="18"/>
        </w:rPr>
        <w:t xml:space="preserve">AI Trainer</w:t>
      </w: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 — </w:t>
      </w:r>
      <w:r>
        <w:rPr>
          <w:rFonts w:ascii="Times New Roman" w:cs="Times New Roman" w:eastAsia="Times New Roman" w:hAnsi="Times New Roman"/>
          <w:b/>
          <w:bCs/>
          <w:color w:val="000000"/>
          <w:sz w:val="18"/>
          <w:szCs w:val="18"/>
        </w:rPr>
        <w:t xml:space="preserve">Alignerr</w:t>
      </w:r>
      <w:r>
        <w:rPr>
          <w:rFonts w:ascii="Times New Roman" w:cs="Times New Roman" w:eastAsia="Times New Roman" w:hAnsi="Times New Roman"/>
          <w:i/>
          <w:iCs/>
          <w:color w:val="000000"/>
          <w:sz w:val="18"/>
          <w:szCs w:val="18"/>
        </w:rPr>
        <w:t xml:space="preserve">  Bengaluru · Contract</w:t>
      </w: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	</w:t>
      </w:r>
      <w:r>
        <w:rPr>
          <w:rFonts w:ascii="Times New Roman" w:cs="Times New Roman" w:eastAsia="Times New Roman" w:hAnsi="Times New Roman"/>
          <w:i/>
          <w:iCs/>
          <w:color w:val="000000"/>
          <w:sz w:val="18"/>
          <w:szCs w:val="18"/>
        </w:rPr>
        <w:t xml:space="preserve">Apr 2025 – Present</w:t>
      </w:r>
    </w:p>
    <w:p>
      <w:pPr>
        <w:pStyle w:val="ListParagraph"/>
        <w:numPr>
          <w:ilvl w:val="0"/>
          <w:numId w:val="1"/>
        </w:numPr>
        <w:spacing w:after="26" w:before="0" w:line="206"/>
        <w:ind w:left="250" w:hanging="165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Label and annotate 2D/3D dental imaging, intraoral scans and X-rays used to train orthodontic treatment-planning models, applying key points, contours and segmentation against clinical standards.</w:t>
      </w:r>
    </w:p>
    <w:p>
      <w:pPr>
        <w:pStyle w:val="ListParagraph"/>
        <w:numPr>
          <w:ilvl w:val="0"/>
          <w:numId w:val="1"/>
        </w:numPr>
        <w:spacing w:after="26" w:before="0" w:line="206"/>
        <w:ind w:left="250" w:hanging="165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Work with dental specialists and AI engineers to tighten annotation guidelines where model predictions were weakest, on HIPAA-compliant platforms.</w:t>
      </w:r>
    </w:p>
    <w:p>
      <w:pPr>
        <w:tabs>
          <w:tab w:val="right" w:pos="10466"/>
        </w:tabs>
        <w:spacing w:after="24" w:before="72" w:line="206"/>
      </w:pPr>
      <w:r>
        <w:rPr>
          <w:rFonts w:ascii="Times New Roman" w:cs="Times New Roman" w:eastAsia="Times New Roman" w:hAnsi="Times New Roman"/>
          <w:b/>
          <w:bCs/>
          <w:color w:val="000000"/>
          <w:sz w:val="18"/>
          <w:szCs w:val="18"/>
        </w:rPr>
        <w:t xml:space="preserve">AI Data Evaluator &amp; Labeling Specialist</w:t>
      </w: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 — </w:t>
      </w:r>
      <w:r>
        <w:rPr>
          <w:rFonts w:ascii="Times New Roman" w:cs="Times New Roman" w:eastAsia="Times New Roman" w:hAnsi="Times New Roman"/>
          <w:b/>
          <w:bCs/>
          <w:color w:val="000000"/>
          <w:sz w:val="18"/>
          <w:szCs w:val="18"/>
        </w:rPr>
        <w:t xml:space="preserve">TELUS International</w:t>
      </w:r>
      <w:r>
        <w:rPr>
          <w:rFonts w:ascii="Times New Roman" w:cs="Times New Roman" w:eastAsia="Times New Roman" w:hAnsi="Times New Roman"/>
          <w:i/>
          <w:iCs/>
          <w:color w:val="000000"/>
          <w:sz w:val="18"/>
          <w:szCs w:val="18"/>
        </w:rPr>
        <w:t xml:space="preserve">  Bengaluru · Contract</w:t>
      </w: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	</w:t>
      </w:r>
      <w:r>
        <w:rPr>
          <w:rFonts w:ascii="Times New Roman" w:cs="Times New Roman" w:eastAsia="Times New Roman" w:hAnsi="Times New Roman"/>
          <w:i/>
          <w:iCs/>
          <w:color w:val="000000"/>
          <w:sz w:val="18"/>
          <w:szCs w:val="18"/>
        </w:rPr>
        <w:t xml:space="preserve">Jun – Sep 2023; Sep 2024 – Sep 2025</w:t>
      </w:r>
    </w:p>
    <w:p>
      <w:pPr>
        <w:pStyle w:val="ListParagraph"/>
        <w:numPr>
          <w:ilvl w:val="0"/>
          <w:numId w:val="1"/>
        </w:numPr>
        <w:spacing w:after="26" w:before="0" w:line="206"/>
        <w:ind w:left="250" w:hanging="165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Prepared structured training datasets across image, text and numerical inputs using Labelbox, Scale AI and SageMaker Ground Truth — bounding boxes, segmentation masks, entity recognition, sentiment and classification.</w:t>
      </w:r>
    </w:p>
    <w:p>
      <w:pPr>
        <w:pStyle w:val="ListParagraph"/>
        <w:numPr>
          <w:ilvl w:val="0"/>
          <w:numId w:val="1"/>
        </w:numPr>
        <w:spacing w:after="26" w:before="0" w:line="206"/>
        <w:ind w:left="250" w:hanging="165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Rated AI-generated responses against domain guidelines, and worked with data scientists, project managers and QA to iterate labelling strategy where accuracy was slipping.</w:t>
      </w:r>
    </w:p>
    <w:p>
      <w:pPr>
        <w:tabs>
          <w:tab w:val="right" w:pos="10466"/>
        </w:tabs>
        <w:spacing w:after="24" w:before="72" w:line="206"/>
      </w:pPr>
      <w:r>
        <w:rPr>
          <w:rFonts w:ascii="Times New Roman" w:cs="Times New Roman" w:eastAsia="Times New Roman" w:hAnsi="Times New Roman"/>
          <w:b/>
          <w:bCs/>
          <w:color w:val="000000"/>
          <w:sz w:val="18"/>
          <w:szCs w:val="18"/>
        </w:rPr>
        <w:t xml:space="preserve">Sales Operations</w:t>
      </w: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 — </w:t>
      </w:r>
      <w:r>
        <w:rPr>
          <w:rFonts w:ascii="Times New Roman" w:cs="Times New Roman" w:eastAsia="Times New Roman" w:hAnsi="Times New Roman"/>
          <w:b/>
          <w:bCs/>
          <w:color w:val="000000"/>
          <w:sz w:val="18"/>
          <w:szCs w:val="18"/>
        </w:rPr>
        <w:t xml:space="preserve">Think &amp; Learn Pvt Ltd</w:t>
      </w:r>
      <w:r>
        <w:rPr>
          <w:rFonts w:ascii="Times New Roman" w:cs="Times New Roman" w:eastAsia="Times New Roman" w:hAnsi="Times New Roman"/>
          <w:i/>
          <w:iCs/>
          <w:color w:val="000000"/>
          <w:sz w:val="18"/>
          <w:szCs w:val="18"/>
        </w:rPr>
        <w:t xml:space="preserve">  Bengaluru</w:t>
      </w: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	</w:t>
      </w:r>
      <w:r>
        <w:rPr>
          <w:rFonts w:ascii="Times New Roman" w:cs="Times New Roman" w:eastAsia="Times New Roman" w:hAnsi="Times New Roman"/>
          <w:i/>
          <w:iCs/>
          <w:color w:val="000000"/>
          <w:sz w:val="18"/>
          <w:szCs w:val="18"/>
        </w:rPr>
        <w:t xml:space="preserve">Jun 2022 – Jun 2023</w:t>
      </w:r>
    </w:p>
    <w:p>
      <w:pPr>
        <w:pStyle w:val="ListParagraph"/>
        <w:numPr>
          <w:ilvl w:val="0"/>
          <w:numId w:val="1"/>
        </w:numPr>
        <w:spacing w:after="26" w:before="0" w:line="206"/>
        <w:ind w:left="250" w:hanging="165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Acted as product expert across backend academic operations and customer lifecycle, bridging students, parents and internal teams through onboarding and adoption.</w:t>
      </w:r>
    </w:p>
    <w:p>
      <w:pPr>
        <w:pStyle w:val="ListParagraph"/>
        <w:numPr>
          <w:ilvl w:val="0"/>
          <w:numId w:val="1"/>
        </w:numPr>
        <w:spacing w:after="26" w:before="0" w:line="206"/>
        <w:ind w:left="250" w:hanging="165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Analysed engagement data to find drop-off points and fed findings back into platform usability; streamlined workflows with sales and tech to reduce escalation time and improve retention.</w:t>
      </w:r>
    </w:p>
    <w:p>
      <w:pPr>
        <w:pBdr>
          <w:bottom w:val="single" w:color="000000" w:sz="6"/>
        </w:pBdr>
        <w:spacing w:after="50" w:before="120"/>
      </w:pPr>
      <w:r>
        <w:rPr>
          <w:rFonts w:ascii="Times New Roman" w:cs="Times New Roman" w:eastAsia="Times New Roman" w:hAnsi="Times New Roman"/>
          <w:b/>
          <w:bCs/>
          <w:spacing w:val="8"/>
          <w:sz w:val="20"/>
          <w:szCs w:val="20"/>
        </w:rPr>
        <w:t xml:space="preserve">PROJECTS</w:t>
      </w:r>
    </w:p>
    <w:p>
      <w:pPr>
        <w:tabs>
          <w:tab w:val="right" w:pos="10466"/>
        </w:tabs>
        <w:spacing w:after="24" w:before="66" w:line="206"/>
      </w:pPr>
      <w:r>
        <w:rPr>
          <w:rFonts w:ascii="Times New Roman" w:cs="Times New Roman" w:eastAsia="Times New Roman" w:hAnsi="Times New Roman"/>
          <w:b/>
          <w:bCs/>
          <w:color w:val="000000"/>
          <w:sz w:val="18"/>
          <w:szCs w:val="18"/>
        </w:rPr>
        <w:t xml:space="preserve">SpendLens</w:t>
      </w: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 — behavioural spend-intelligence web app</w:t>
      </w: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	</w:t>
      </w:r>
      <w:r>
        <w:rPr>
          <w:rFonts w:ascii="Times New Roman" w:cs="Times New Roman" w:eastAsia="Times New Roman" w:hAnsi="Times New Roman"/>
          <w:i/>
          <w:iCs/>
          <w:color w:val="000000"/>
          <w:sz w:val="18"/>
          <w:szCs w:val="18"/>
        </w:rPr>
        <w:t xml:space="preserve">akr246.github.io/spendlens-ai-spend-intelligence</w:t>
      </w:r>
    </w:p>
    <w:p>
      <w:pPr>
        <w:pStyle w:val="ListParagraph"/>
        <w:numPr>
          <w:ilvl w:val="0"/>
          <w:numId w:val="1"/>
        </w:numPr>
        <w:spacing w:after="26" w:before="0" w:line="206"/>
        <w:ind w:left="250" w:hanging="165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Took a product from problem statement to live build — wrote the requirements, defined the classification model and success metrics, then shipped it as a React/TypeScript app on GitHub Actions using AI-assisted development.</w:t>
      </w:r>
    </w:p>
    <w:p>
      <w:pPr>
        <w:pStyle w:val="ListParagraph"/>
        <w:numPr>
          <w:ilvl w:val="0"/>
          <w:numId w:val="1"/>
        </w:numPr>
        <w:spacing w:after="26" w:before="0" w:line="206"/>
        <w:ind w:left="250" w:hanging="165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Specified six decision engines, including classification with confidence scoring that routes low-confidence cases to human review, and a guardrail service that blocks any recommendation touching an essential expense.</w:t>
      </w:r>
    </w:p>
    <w:p>
      <w:pPr>
        <w:pStyle w:val="ListParagraph"/>
        <w:numPr>
          <w:ilvl w:val="0"/>
          <w:numId w:val="1"/>
        </w:numPr>
        <w:spacing w:after="26" w:before="0" w:line="206"/>
        <w:ind w:left="250" w:hanging="165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Wrote the accompanying PRD covering scope, metrics, competitive position and the published research that argues against the product’s own thesis.</w:t>
      </w:r>
    </w:p>
    <w:p>
      <w:pPr>
        <w:tabs>
          <w:tab w:val="right" w:pos="10466"/>
        </w:tabs>
        <w:spacing w:after="24" w:before="66" w:line="206"/>
      </w:pPr>
      <w:r>
        <w:rPr>
          <w:rFonts w:ascii="Times New Roman" w:cs="Times New Roman" w:eastAsia="Times New Roman" w:hAnsi="Times New Roman"/>
          <w:b/>
          <w:bCs/>
          <w:color w:val="000000"/>
          <w:sz w:val="18"/>
          <w:szCs w:val="18"/>
        </w:rPr>
        <w:t xml:space="preserve">Process Modelling &amp; System Implementation</w:t>
      </w: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/>
      </w: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	</w:t>
      </w:r>
      <w:r>
        <w:rPr>
          <w:rFonts w:ascii="Times New Roman" w:cs="Times New Roman" w:eastAsia="Times New Roman" w:hAnsi="Times New Roman"/>
          <w:i/>
          <w:iCs/>
          <w:color w:val="000000"/>
          <w:sz w:val="18"/>
          <w:szCs w:val="18"/>
        </w:rPr>
        <w:t xml:space="preserve"/>
      </w:r>
    </w:p>
    <w:p>
      <w:pPr>
        <w:pStyle w:val="ListParagraph"/>
        <w:numPr>
          <w:ilvl w:val="0"/>
          <w:numId w:val="1"/>
        </w:numPr>
        <w:spacing w:after="26" w:before="0" w:line="206"/>
        <w:ind w:left="250" w:hanging="165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Designed an end-to-end client onboarding blueprint, turning business requirements into access-provisioning checklists and milestone dashboards; automated document handling cut processing time by 40%.</w:t>
      </w:r>
    </w:p>
    <w:p>
      <w:pPr>
        <w:pBdr>
          <w:bottom w:val="single" w:color="000000" w:sz="6"/>
        </w:pBdr>
        <w:spacing w:after="50" w:before="120"/>
      </w:pPr>
      <w:r>
        <w:rPr>
          <w:rFonts w:ascii="Times New Roman" w:cs="Times New Roman" w:eastAsia="Times New Roman" w:hAnsi="Times New Roman"/>
          <w:b/>
          <w:bCs/>
          <w:spacing w:val="8"/>
          <w:sz w:val="20"/>
          <w:szCs w:val="20"/>
        </w:rPr>
        <w:t xml:space="preserve">EDUCATION</w:t>
      </w:r>
    </w:p>
    <w:p>
      <w:pPr>
        <w:tabs>
          <w:tab w:val="right" w:pos="10466"/>
        </w:tabs>
        <w:spacing w:after="24" w:before="66" w:line="206"/>
      </w:pPr>
      <w:r>
        <w:rPr>
          <w:rFonts w:ascii="Times New Roman" w:cs="Times New Roman" w:eastAsia="Times New Roman" w:hAnsi="Times New Roman"/>
          <w:b/>
          <w:bCs/>
          <w:color w:val="000000"/>
          <w:sz w:val="18"/>
          <w:szCs w:val="18"/>
        </w:rPr>
        <w:t xml:space="preserve">MBA, Artificial Intelligence for Business</w:t>
      </w: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 — Birla Institute of Technology &amp; Science, Pilani</w:t>
      </w: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	</w:t>
      </w:r>
      <w:r>
        <w:rPr>
          <w:rFonts w:ascii="Times New Roman" w:cs="Times New Roman" w:eastAsia="Times New Roman" w:hAnsi="Times New Roman"/>
          <w:i/>
          <w:iCs/>
          <w:color w:val="000000"/>
          <w:sz w:val="18"/>
          <w:szCs w:val="18"/>
        </w:rPr>
        <w:t xml:space="preserve">Apr 2026 – Present</w:t>
      </w:r>
    </w:p>
    <w:p>
      <w:pPr>
        <w:tabs>
          <w:tab w:val="right" w:pos="10466"/>
        </w:tabs>
        <w:spacing w:after="24" w:before="66" w:line="206"/>
      </w:pPr>
      <w:r>
        <w:rPr>
          <w:rFonts w:ascii="Times New Roman" w:cs="Times New Roman" w:eastAsia="Times New Roman" w:hAnsi="Times New Roman"/>
          <w:b/>
          <w:bCs/>
          <w:color w:val="000000"/>
          <w:sz w:val="18"/>
          <w:szCs w:val="18"/>
        </w:rPr>
        <w:t xml:space="preserve">MSc Psychology</w:t>
      </w: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 — St. Agnes Centre for PG Studies &amp; Research, Mangalore</w:t>
      </w: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	</w:t>
      </w:r>
      <w:r>
        <w:rPr>
          <w:rFonts w:ascii="Times New Roman" w:cs="Times New Roman" w:eastAsia="Times New Roman" w:hAnsi="Times New Roman"/>
          <w:i/>
          <w:iCs/>
          <w:color w:val="000000"/>
          <w:sz w:val="18"/>
          <w:szCs w:val="18"/>
        </w:rPr>
        <w:t xml:space="preserve">Aug 2019 – Jul 2023</w:t>
      </w:r>
    </w:p>
    <w:p>
      <w:pPr>
        <w:spacing w:after="24" w:before="0" w:line="206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Specialised in behavioural economics and human–computer interaction; coursework in psychological statistics and organisational behaviour.</w:t>
      </w:r>
    </w:p>
    <w:p>
      <w:pPr>
        <w:tabs>
          <w:tab w:val="right" w:pos="10466"/>
        </w:tabs>
        <w:spacing w:after="24" w:before="66" w:line="206"/>
      </w:pPr>
      <w:r>
        <w:rPr>
          <w:rFonts w:ascii="Times New Roman" w:cs="Times New Roman" w:eastAsia="Times New Roman" w:hAnsi="Times New Roman"/>
          <w:b/>
          <w:bCs/>
          <w:color w:val="000000"/>
          <w:sz w:val="18"/>
          <w:szCs w:val="18"/>
        </w:rPr>
        <w:t xml:space="preserve">BSc Psychology</w:t>
      </w: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 — Sahrudaya College of Advanced Studies, Kodakara</w:t>
      </w: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	</w:t>
      </w:r>
      <w:r>
        <w:rPr>
          <w:rFonts w:ascii="Times New Roman" w:cs="Times New Roman" w:eastAsia="Times New Roman" w:hAnsi="Times New Roman"/>
          <w:i/>
          <w:iCs/>
          <w:color w:val="000000"/>
          <w:sz w:val="18"/>
          <w:szCs w:val="18"/>
        </w:rPr>
        <w:t xml:space="preserve">2016 – 2019</w:t>
      </w:r>
    </w:p>
    <w:p>
      <w:pPr>
        <w:pBdr>
          <w:bottom w:val="single" w:color="000000" w:sz="6"/>
        </w:pBdr>
        <w:spacing w:after="50" w:before="120"/>
      </w:pPr>
      <w:r>
        <w:rPr>
          <w:rFonts w:ascii="Times New Roman" w:cs="Times New Roman" w:eastAsia="Times New Roman" w:hAnsi="Times New Roman"/>
          <w:b/>
          <w:bCs/>
          <w:spacing w:val="8"/>
          <w:sz w:val="20"/>
          <w:szCs w:val="20"/>
        </w:rPr>
        <w:t xml:space="preserve">CERTIFICATIONS</w:t>
      </w:r>
    </w:p>
    <w:p>
      <w:pPr>
        <w:spacing w:after="34" w:before="0" w:line="206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Google Data Analytics (Coursera) · IBM Key Technology Foundations for GenAI · Google Cloud — Develop GenAI Apps with Gemini &amp; Streamlit, Vector Search &amp; Embeddings, MLOps for Generative AI, Vertex AI Studio, Multimodal RAG with Gemini · Generative AI Overview for Project Managers (PMI) · AI &amp; Machine Learning, ICTRD (ID AZ2566800). Verify at credly.com/users/arya-k-ravi</w:t>
      </w:r>
    </w:p>
    <w:sectPr>
      <w:pgSz w:w="11906" w:h="16838" w:orient="portrait"/>
      <w:pgMar w:top="540" w:right="660" w:bottom="460" w:left="6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color w:val="000000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Arya K. Ravi — Product Associate</dc:title>
  <dc:creator>Arya K. Ravi</dc:creator>
  <cp:lastModifiedBy>Un-named</cp:lastModifiedBy>
  <cp:revision>1</cp:revision>
  <dcterms:created xsi:type="dcterms:W3CDTF">2026-08-21T18:22:43.515Z</dcterms:created>
  <dcterms:modified xsi:type="dcterms:W3CDTF">2026-08-21T18:22:43.527Z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