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b/>
          <w:bCs/>
          <w:color w:val="1F4E79"/>
          <w:sz w:val="40"/>
          <w:szCs w:val="40"/>
        </w:rPr>
        <w:t xml:space="preserve">CAHIER DES CLAUSES TECHNIQUES PARTICULIÈRES</w:t>
      </w:r>
    </w:p>
    <w:p>
      <w:pPr>
        <w:pBdr>
          <w:bottom w:val="single" w:color="1F4E79" w:sz="8" w:space="12"/>
        </w:pBdr>
        <w:spacing w:after="600"/>
      </w:pPr>
      <w:r>
        <w:rPr>
          <w:color w:val="595959"/>
          <w:sz w:val="28"/>
          <w:szCs w:val="28"/>
        </w:rPr>
        <w:t xml:space="preserve">Lot — Système de gestion technique du bâtiment sur bus KNX</w:t>
      </w:r>
    </w:p>
    <w:p>
      <w:pPr>
        <w:spacing w:after="100" w:line="276"/>
      </w:pPr>
      <w:r>
        <w:t xml:space="preserve">Opération : </w:t>
      </w:r>
      <w:r>
        <w:rPr>
          <w:b/>
          <w:bCs/>
          <w:color w:val="1F4E79"/>
        </w:rPr>
        <w:t xml:space="preserve">[DÉSIGNATION DE L'OPÉRATION]</w:t>
      </w:r>
    </w:p>
    <w:p>
      <w:pPr>
        <w:spacing w:after="100" w:line="276"/>
      </w:pPr>
      <w:r>
        <w:t xml:space="preserve">Maître d'ouvrage : </w:t>
      </w:r>
      <w:r>
        <w:rPr>
          <w:b/>
          <w:bCs/>
          <w:color w:val="1F4E79"/>
        </w:rPr>
        <w:t xml:space="preserve">[NOM]</w:t>
      </w:r>
    </w:p>
    <w:p>
      <w:pPr>
        <w:spacing w:after="100" w:line="276"/>
      </w:pPr>
      <w:r>
        <w:t xml:space="preserve">Maîtrise d'œuvre : </w:t>
      </w:r>
      <w:r>
        <w:rPr>
          <w:b/>
          <w:bCs/>
          <w:color w:val="1F4E79"/>
        </w:rPr>
        <w:t xml:space="preserve">[NOM]</w:t>
      </w:r>
    </w:p>
    <w:p>
      <w:pPr>
        <w:spacing w:after="1400" w:line="276"/>
      </w:pPr>
      <w:r>
        <w:t xml:space="preserve">Indice : </w:t>
      </w:r>
      <w:r>
        <w:rPr>
          <w:b/>
          <w:bCs/>
          <w:color w:val="1F4E79"/>
        </w:rPr>
        <w:t xml:space="preserve">[A]</w:t>
      </w:r>
      <w:r>
        <w:t xml:space="preserve"> — Date : </w:t>
      </w:r>
      <w:r>
        <w:rPr>
          <w:b/>
          <w:bCs/>
          <w:color w:val="1F4E79"/>
        </w:rPr>
        <w:t xml:space="preserve">[JJ/MM/AAAA]</w:t>
      </w:r>
    </w:p>
    <w:p>
      <w:pPr>
        <w:spacing w:after="60"/>
      </w:pPr>
      <w:r>
        <w:rPr>
          <w:color w:val="595959"/>
          <w:sz w:val="18"/>
          <w:szCs w:val="18"/>
        </w:rPr>
        <w:t xml:space="preserve">Modèle mis à disposition par KNX MAROC — intégrateur KNX certifié, Rabat</w:t>
      </w:r>
    </w:p>
    <w:p>
      <w:r>
        <w:rPr>
          <w:color w:val="595959"/>
          <w:sz w:val="18"/>
          <w:szCs w:val="18"/>
        </w:rPr>
        <w:t xml:space="preserve">contact@knxmaroc.ma · +212 663 66 66 27 · knxmaroc.ma</w:t>
      </w:r>
    </w:p>
    <w:p>
      <w:r>
        <w:br w:type="page"/>
      </w:r>
    </w:p>
    <w:p>
      <w:pPr>
        <w:spacing w:after="240"/>
      </w:pPr>
      <w:r>
        <w:rPr>
          <w:b/>
          <w:bCs/>
          <w:color w:val="1F4E79"/>
          <w:sz w:val="24"/>
          <w:szCs w:val="24"/>
        </w:rPr>
        <w:t xml:space="preserve">Notice d'emploi — à supprimer avant diffusion</w:t>
      </w:r>
    </w:p>
    <w:p>
      <w:pPr>
        <w:spacing w:after="160" w:line="276"/>
      </w:pPr>
      <w:r>
        <w:t xml:space="preserve">Ce document est un modèle de CCTP destiné aux architectes, bureaux d'études et maîtres d'ouvrage qui souhaitent inscrire un lot domotique KNX dans un dossier de consultation des entreprises.</w:t>
      </w:r>
    </w:p>
    <w:p>
      <w:pPr>
        <w:spacing w:after="160" w:line="276"/>
      </w:pPr>
      <w:r>
        <w:t xml:space="preserve">Il est rédigé pour être inséré tel quel dans un DCE, puis adapté au projet. Les passages entre crochets appellent une valeur propre à l'opération : surfaces, quantités, niveaux de finition, délais.</w:t>
      </w:r>
    </w:p>
    <w:p>
      <w:pPr>
        <w:spacing w:after="160" w:line="276"/>
      </w:pPr>
      <w:r>
        <w:t xml:space="preserve">Aucune marque n'y est nommée, volontairement. KNX est une norme ouverte : imposer un fabricant restreindrait la concurrence sans bénéfice technique, et recréerait la dépendance que la norme sert précisément à éviter. Les articles 3 et 8 portent les exigences qui garantissent cette liberté dans la durée — ce sont les plus importantes du document.</w:t>
      </w:r>
    </w:p>
    <w:p>
      <w:pPr>
        <w:spacing w:after="160" w:line="276"/>
      </w:pPr>
      <w:r>
        <w:t xml:space="preserve">KNX MAROC met ce modèle à disposition librement. Vous pouvez le reprendre, le modifier et le diffuser, y compris pour consulter d'autres entreprises que la nôtre.</w:t>
      </w:r>
    </w:p>
    <w:p>
      <w:r>
        <w:br w:type="page"/>
      </w:r>
    </w:p>
    <w:p>
      <w:pPr>
        <w:pStyle w:val="Heading1"/>
        <w:spacing w:after="140"/>
      </w:pPr>
      <w:r>
        <w:t xml:space="preserve">Sommaire</w:t>
      </w:r>
    </w:p>
    <w:p>
      <w:pPr>
        <w:spacing w:after="260"/>
      </w:pPr>
      <w:r>
        <w:rPr>
          <w:i/>
          <w:iCs/>
          <w:color w:val="595959"/>
          <w:sz w:val="17"/>
          <w:szCs w:val="17"/>
        </w:rPr>
        <w:t xml:space="preserve">Sous Word : sélectionner le sommaire, puis F9 — ou clic droit, « Mettre à jour les champs » — pour le renseigner et l'actualiser après modification.</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Article 1 — Objet et étendue de la prestation</w:t>
      </w:r>
    </w:p>
    <w:p>
      <w:pPr>
        <w:pStyle w:val="Heading2"/>
        <w:spacing w:after="140" w:before="240"/>
      </w:pPr>
      <w:r>
        <w:t xml:space="preserve">1.1 Objet</w:t>
      </w:r>
    </w:p>
    <w:p>
      <w:pPr>
        <w:spacing w:after="160" w:line="276"/>
      </w:pPr>
      <w:r>
        <w:t xml:space="preserve">Le présent cahier définit les prescriptions techniques applicables à la fourniture, la pose, le raccordement, la programmation et la mise en service d'un système de gestion technique du bâtiment reposant sur le bus KNX, pour l'opération : </w:t>
      </w:r>
      <w:r>
        <w:rPr>
          <w:b/>
          <w:bCs/>
          <w:color w:val="1F4E79"/>
        </w:rPr>
        <w:t xml:space="preserve">[DÉSIGNATION DE L'OPÉRATION]</w:t>
      </w:r>
      <w:r>
        <w:t xml:space="preserve">, sise à </w:t>
      </w:r>
      <w:r>
        <w:rPr>
          <w:b/>
          <w:bCs/>
          <w:color w:val="1F4E79"/>
        </w:rPr>
        <w:t xml:space="preserve">[ADRESSE]</w:t>
      </w:r>
      <w:r>
        <w:t xml:space="preserve">.</w:t>
      </w:r>
    </w:p>
    <w:p>
      <w:pPr>
        <w:spacing w:after="160" w:line="276"/>
      </w:pPr>
      <w:r>
        <w:t xml:space="preserve">Le système assure la commande et la régulation coordonnées des fonctions décrites à l'article 5, sur une infrastructure filaire unique et selon une norme ouverte.</w:t>
      </w:r>
    </w:p>
    <w:p>
      <w:pPr>
        <w:pStyle w:val="Heading2"/>
        <w:spacing w:after="140" w:before="240"/>
      </w:pPr>
      <w:r>
        <w:t xml:space="preserve">1.2 Consistance des travaux</w:t>
      </w:r>
    </w:p>
    <w:p>
      <w:pPr>
        <w:spacing w:after="160" w:line="276"/>
      </w:pPr>
      <w:r>
        <w:t xml:space="preserve">La prestation comprend, sans que cette liste soit limitative :</w:t>
      </w:r>
    </w:p>
    <w:p>
      <w:pPr>
        <w:pStyle w:val="ListParagraph"/>
        <w:numPr>
          <w:ilvl w:val="0"/>
          <w:numId w:val="2"/>
        </w:numPr>
        <w:spacing w:after="90" w:line="276"/>
      </w:pPr>
      <w:r>
        <w:t xml:space="preserve">l'étude d'exécution du système : comptage des points, choix de la topologie, dimensionnement des alimentations et des actionneurs, schémas de principe et carnet de câblage ;</w:t>
      </w:r>
    </w:p>
    <w:p>
      <w:pPr>
        <w:pStyle w:val="ListParagraph"/>
        <w:numPr>
          <w:ilvl w:val="0"/>
          <w:numId w:val="2"/>
        </w:numPr>
        <w:spacing w:after="90" w:line="276"/>
      </w:pPr>
      <w:r>
        <w:t xml:space="preserve">la fourniture et la pose du câble bus et de ses cheminements propres ;</w:t>
      </w:r>
    </w:p>
    <w:p>
      <w:pPr>
        <w:pStyle w:val="ListParagraph"/>
        <w:numPr>
          <w:ilvl w:val="0"/>
          <w:numId w:val="2"/>
        </w:numPr>
        <w:spacing w:after="90" w:line="276"/>
      </w:pPr>
      <w:r>
        <w:t xml:space="preserve">la fourniture, la pose et le raccordement des modules sur rail DIN dans les tableaux électriques ;</w:t>
      </w:r>
    </w:p>
    <w:p>
      <w:pPr>
        <w:pStyle w:val="ListParagraph"/>
        <w:numPr>
          <w:ilvl w:val="0"/>
          <w:numId w:val="2"/>
        </w:numPr>
        <w:spacing w:after="90" w:line="276"/>
      </w:pPr>
      <w:r>
        <w:t xml:space="preserve">la fourniture et la pose de l'appareillage de commande et des capteurs ;</w:t>
      </w:r>
    </w:p>
    <w:p>
      <w:pPr>
        <w:pStyle w:val="ListParagraph"/>
        <w:numPr>
          <w:ilvl w:val="0"/>
          <w:numId w:val="2"/>
        </w:numPr>
        <w:spacing w:after="90" w:line="276"/>
      </w:pPr>
      <w:r>
        <w:t xml:space="preserve">la programmation complète sous ETS, y compris les scènes et les automatismes ;</w:t>
      </w:r>
    </w:p>
    <w:p>
      <w:pPr>
        <w:pStyle w:val="ListParagraph"/>
        <w:numPr>
          <w:ilvl w:val="0"/>
          <w:numId w:val="2"/>
        </w:numPr>
        <w:spacing w:after="90" w:line="276"/>
      </w:pPr>
      <w:r>
        <w:t xml:space="preserve">les essais, la mise en service, la formation de l'exploitant et la remise des documents visés à l'article 8.</w:t>
      </w:r>
    </w:p>
    <w:p>
      <w:pPr>
        <w:pStyle w:val="Heading2"/>
        <w:spacing w:after="140" w:before="240"/>
      </w:pPr>
      <w:r>
        <w:t xml:space="preserve">1.3 Limites de prestation</w:t>
      </w:r>
    </w:p>
    <w:p>
      <w:pPr>
        <w:spacing w:after="160" w:line="276"/>
      </w:pPr>
      <w:r>
        <w:t xml:space="preserve">Les limites avec les autres lots sont arrêtées comme suit. Toute prestation non explicitement attribuée à un autre lot est réputée incluse au présent 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shd w:fill="EDF2F7" w:color="auto" w:val="clear"/>
            <w:tcMar>
              <w:top w:type="dxa" w:w="90"/>
              <w:left w:type="dxa" w:w="120"/>
              <w:bottom w:type="dxa" w:w="90"/>
              <w:right w:type="dxa" w:w="120"/>
            </w:tcMar>
          </w:tcPr>
          <w:p>
            <w:pPr>
              <w:spacing w:after="0"/>
            </w:pPr>
            <w:r>
              <w:rPr>
                <w:b/>
                <w:bCs/>
                <w:color w:val="1F4E79"/>
                <w:sz w:val="19"/>
                <w:szCs w:val="19"/>
              </w:rPr>
              <w:t xml:space="preserve">Prestation</w:t>
            </w:r>
          </w:p>
        </w:tc>
        <w:tc>
          <w:tcPr>
            <w:tcW w:type="dxa" w:w="2760"/>
            <w:shd w:fill="EDF2F7" w:color="auto" w:val="clear"/>
            <w:tcMar>
              <w:top w:type="dxa" w:w="90"/>
              <w:left w:type="dxa" w:w="120"/>
              <w:bottom w:type="dxa" w:w="90"/>
              <w:right w:type="dxa" w:w="120"/>
            </w:tcMar>
          </w:tcPr>
          <w:p>
            <w:pPr>
              <w:spacing w:after="0"/>
            </w:pPr>
            <w:r>
              <w:rPr>
                <w:b/>
                <w:bCs/>
                <w:color w:val="1F4E79"/>
                <w:sz w:val="19"/>
                <w:szCs w:val="19"/>
              </w:rPr>
              <w:t xml:space="preserve">Lot concerné</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Tableaux électriques, protections, distribution de puissance</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Lot électricité</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Réservation et fourniture des goulottes et fourreaux principaux</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Lot électricité</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Câble bus, cheminements propres au bus, modules KNX</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Présent lot</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Appareillage de commande KNX et capteurs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Présent lot</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Luminaires, moteurs de stores, unités de climatisation</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Lots respectifs</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Interfaces et passerelles de raccordement de ces équipements au bus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Présent lot</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Programmation, paramétrage, mise en service</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Présent lot</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Réseau informatique et alimentation électrique des baies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Lot courants faibles</w:t>
            </w:r>
          </w:p>
        </w:tc>
      </w:tr>
    </w:tbl>
    <w:p>
      <w:pPr>
        <w:spacing w:after="160"/>
      </w:pPr>
    </w:p>
    <w:p>
      <w:pPr>
        <w:pStyle w:val="Heading1"/>
        <w:spacing w:after="200" w:before="360"/>
      </w:pPr>
      <w:r>
        <w:t xml:space="preserve">Article 2 — Documents de référence</w:t>
      </w:r>
    </w:p>
    <w:p>
      <w:pPr>
        <w:pStyle w:val="Heading2"/>
        <w:spacing w:after="140" w:before="240"/>
      </w:pPr>
      <w:r>
        <w:t xml:space="preserve">2.1 Normes applicables</w:t>
      </w:r>
    </w:p>
    <w:p>
      <w:pPr>
        <w:spacing w:after="160" w:line="276"/>
      </w:pPr>
      <w:r>
        <w:t xml:space="preserve">L'installation est conforme aux textes en vigueur à la date de remise des offres, et notamment :</w:t>
      </w:r>
    </w:p>
    <w:p>
      <w:pPr>
        <w:pStyle w:val="ListParagraph"/>
        <w:numPr>
          <w:ilvl w:val="0"/>
          <w:numId w:val="2"/>
        </w:numPr>
        <w:spacing w:after="90" w:line="276"/>
      </w:pPr>
      <w:r>
        <w:t xml:space="preserve">NM 06.1.100 à NM 06.1.106 — Installations électriques à basse tension. Transposition marocaine de la NF C 15-100 publiée par l'IMANOR. L'entreprise vérifie l'édition en vigueur à la date de son offre.</w:t>
      </w:r>
    </w:p>
    <w:p>
      <w:pPr>
        <w:pStyle w:val="ListParagraph"/>
        <w:numPr>
          <w:ilvl w:val="0"/>
          <w:numId w:val="2"/>
        </w:numPr>
        <w:spacing w:after="90" w:line="276"/>
      </w:pPr>
      <w:r>
        <w:t xml:space="preserve">ISO/IEC 14543-3 — Home Electronic Systems. Norme internationale du protocole KNX, tous supports de transmission.</w:t>
      </w:r>
    </w:p>
    <w:p>
      <w:pPr>
        <w:pStyle w:val="ListParagraph"/>
        <w:numPr>
          <w:ilvl w:val="0"/>
          <w:numId w:val="2"/>
        </w:numPr>
        <w:spacing w:after="90" w:line="276"/>
      </w:pPr>
      <w:r>
        <w:t xml:space="preserve">EN 50090 — Home and Building Electronic Systems (HBES). Norme européenne CENELEC du protocole KNX.</w:t>
      </w:r>
    </w:p>
    <w:p>
      <w:pPr>
        <w:pStyle w:val="ListParagraph"/>
        <w:numPr>
          <w:ilvl w:val="0"/>
          <w:numId w:val="2"/>
        </w:numPr>
        <w:spacing w:after="90" w:line="276"/>
      </w:pPr>
      <w:r>
        <w:t xml:space="preserve">EN ISO 52120-1, anciennement EN 15232 — Performance énergétique des bâtiments : contribution de l'automatisation et de la régulation. Définit les classes de performance A à D.</w:t>
      </w:r>
    </w:p>
    <w:p>
      <w:pPr>
        <w:pStyle w:val="ListParagraph"/>
        <w:numPr>
          <w:ilvl w:val="0"/>
          <w:numId w:val="2"/>
        </w:numPr>
        <w:spacing w:after="90" w:line="276"/>
      </w:pPr>
      <w:r>
        <w:t xml:space="preserve">IEC 62386 — Interface d'éclairage adressable numérique (DALI-2), pour les fonctions d'éclairage gradable.</w:t>
      </w:r>
    </w:p>
    <w:p>
      <w:pPr>
        <w:pStyle w:val="Heading2"/>
        <w:spacing w:after="140" w:before="240"/>
      </w:pPr>
      <w:r>
        <w:t xml:space="preserve">2.2 Classe de performance énergétique visée</w:t>
      </w:r>
    </w:p>
    <w:p>
      <w:pPr>
        <w:spacing w:after="160" w:line="276"/>
      </w:pPr>
      <w:r>
        <w:t xml:space="preserve">L'installation est conçue pour atteindre la classe </w:t>
      </w:r>
      <w:r>
        <w:rPr>
          <w:b/>
          <w:bCs/>
          <w:color w:val="1F4E79"/>
        </w:rPr>
        <w:t xml:space="preserve">[A / B]</w:t>
      </w:r>
      <w:r>
        <w:t xml:space="preserve"> au sens de l'EN ISO 52120-1. L'entreprise joint à son offre le tableau des fonctions de régulation retenues, renseigné par lot technique, permettant de vérifier la classe atteinte.</w:t>
      </w:r>
    </w:p>
    <w:p>
      <w:pPr>
        <w:pStyle w:val="Heading1"/>
        <w:spacing w:after="200" w:before="360"/>
      </w:pPr>
      <w:r>
        <w:t xml:space="preserve">Article 3 — Qualification exigée de l'entreprise</w:t>
      </w:r>
    </w:p>
    <w:p>
      <w:pPr>
        <w:pStyle w:val="Heading2"/>
        <w:spacing w:after="140" w:before="240"/>
      </w:pPr>
      <w:r>
        <w:t xml:space="preserve">3.1 Certification</w:t>
      </w:r>
    </w:p>
    <w:p>
      <w:pPr>
        <w:spacing w:after="160" w:line="276"/>
      </w:pPr>
      <w:r>
        <w:t xml:space="preserve">L'entreprise titulaire du présent lot justifie de la certification KNX Partner délivrée par la KNX Association. La copie du certificat en cours de validité est jointe à l'offre.</w:t>
      </w:r>
    </w:p>
    <w:p>
      <w:pPr>
        <w:spacing w:after="160" w:line="276"/>
      </w:pPr>
      <w:r>
        <w:t xml:space="preserve">La programmation est réalisée par un intervenant nommément désigné dans l'offre, titulaire d'une certification ETS attestant de sa formation au logiciel de paramétrage. Son nom et son numéro de certification figurent au mémoire technique.</w:t>
      </w:r>
    </w:p>
    <w:p>
      <w:pPr>
        <w:pStyle w:val="Heading2"/>
        <w:spacing w:after="140" w:before="240"/>
      </w:pPr>
      <w:r>
        <w:t xml:space="preserve">3.2 Références</w:t>
      </w:r>
    </w:p>
    <w:p>
      <w:pPr>
        <w:spacing w:after="160" w:line="276"/>
      </w:pPr>
      <w:r>
        <w:t xml:space="preserve">L'entreprise justifie d'au moins </w:t>
      </w:r>
      <w:r>
        <w:rPr>
          <w:b/>
          <w:bCs/>
          <w:color w:val="1F4E79"/>
        </w:rPr>
        <w:t xml:space="preserve">[NOMBRE]</w:t>
      </w:r>
      <w:r>
        <w:t xml:space="preserve"> installations KNX mises en service au cours des </w:t>
      </w:r>
      <w:r>
        <w:rPr>
          <w:b/>
          <w:bCs/>
          <w:color w:val="1F4E79"/>
        </w:rPr>
        <w:t xml:space="preserve">[NOMBRE]</w:t>
      </w:r>
      <w:r>
        <w:t xml:space="preserve"> dernières années, sur des programmes de nature comparable. Chaque référence précise la surface traitée, les lots intégrés et le nombre de participants au bus.</w:t>
      </w:r>
    </w:p>
    <w:p>
      <w:pPr>
        <w:pStyle w:val="Heading2"/>
        <w:spacing w:after="140" w:before="240"/>
      </w:pPr>
      <w:r>
        <w:t xml:space="preserve">3.3 Motif de ces exigences</w:t>
      </w:r>
    </w:p>
    <w:p>
      <w:pPr>
        <w:spacing w:after="160" w:line="276"/>
      </w:pPr>
      <w:r>
        <w:t xml:space="preserve">Ces exigences ne visent pas à restreindre la concurrence. Le bus KNX se programme au moyen d'un logiciel unique dont la maîtrise conditionne la reprise ultérieure de l'installation par un tiers. Une installation paramétrée hors des règles de l'art reste fonctionnelle à la réception, mais devient coûteuse à faire évoluer — c'est ce risque, différé et invisible à la livraison, que le présent article écarte.</w:t>
      </w:r>
    </w:p>
    <w:p>
      <w:pPr>
        <w:pStyle w:val="Heading1"/>
        <w:spacing w:after="200" w:before="360"/>
      </w:pPr>
      <w:r>
        <w:t xml:space="preserve">Article 4 — Prescriptions techniques générales</w:t>
      </w:r>
    </w:p>
    <w:p>
      <w:pPr>
        <w:pStyle w:val="Heading2"/>
        <w:spacing w:after="140" w:before="240"/>
      </w:pPr>
      <w:r>
        <w:t xml:space="preserve">4.1 Architecture décentralisée</w:t>
      </w:r>
    </w:p>
    <w:p>
      <w:pPr>
        <w:spacing w:after="160" w:line="276"/>
      </w:pPr>
      <w:r>
        <w:t xml:space="preserve">L'installation est décentralisée. L'intelligence réside dans les participants eux-mêmes : aucun automate central, aucun serveur et aucun service distant ne conditionne le fonctionnement des commandes de base.</w:t>
      </w:r>
    </w:p>
    <w:p>
      <w:pPr>
        <w:spacing w:after="160" w:line="276"/>
      </w:pPr>
      <w:r>
        <w:t xml:space="preserve">En cas de défaillance d'un module, d'une passerelle, d'un écran de supervision ou de la liaison Internet, les fonctions d'éclairage, d'occultation et de régulation thermique demeurent opérationnelles depuis les commandes murales.</w:t>
      </w:r>
    </w:p>
    <w:p>
      <w:pPr>
        <w:pStyle w:val="Heading2"/>
        <w:spacing w:after="140" w:before="240"/>
      </w:pPr>
      <w:r>
        <w:t xml:space="preserve">4.2 Support de transmission</w:t>
      </w:r>
    </w:p>
    <w:p>
      <w:pPr>
        <w:spacing w:after="160" w:line="276"/>
      </w:pPr>
      <w:r>
        <w:t xml:space="preserve">Le support est la paire torsadée KNX TP1. Les supports radio ne sont admis que pour des points isolés dont le câblage est matériellement impossible, sur justification écrite acceptée par la maîtrise d'œuvre, et ne peuvent porter aucune fonction de sécurité.</w:t>
      </w:r>
    </w:p>
    <w:p>
      <w:pPr>
        <w:spacing w:after="160" w:line="276"/>
      </w:pPr>
      <w:r>
        <w:t xml:space="preserve">Le câble bus est un câble certifié KNX de section 2 × 2 × 0,8 mm², sous gaine appropriée au mode de pose.</w:t>
      </w:r>
    </w:p>
    <w:p>
      <w:pPr>
        <w:pStyle w:val="Heading2"/>
        <w:spacing w:after="140" w:before="240"/>
      </w:pPr>
      <w:r>
        <w:t xml:space="preserve">4.3 Topologie et cheminements</w:t>
      </w:r>
    </w:p>
    <w:p>
      <w:pPr>
        <w:pStyle w:val="ListParagraph"/>
        <w:numPr>
          <w:ilvl w:val="0"/>
          <w:numId w:val="2"/>
        </w:numPr>
        <w:spacing w:after="90" w:line="276"/>
      </w:pPr>
      <w:r>
        <w:t xml:space="preserve">La topologie respecte les règles de la norme : longueur maximale de ligne 1 000 m, distance maximale entre alimentation et participant 350 m, distance maximale entre deux participants 700 m.</w:t>
      </w:r>
    </w:p>
    <w:p>
      <w:pPr>
        <w:pStyle w:val="ListParagraph"/>
        <w:numPr>
          <w:ilvl w:val="0"/>
          <w:numId w:val="2"/>
        </w:numPr>
        <w:spacing w:after="90" w:line="276"/>
      </w:pPr>
      <w:r>
        <w:t xml:space="preserve">Le nombre de participants par ligne n'excède pas 64, ou la limite propre à l'alimentation retenue si elle est inférieure.</w:t>
      </w:r>
    </w:p>
    <w:p>
      <w:pPr>
        <w:pStyle w:val="ListParagraph"/>
        <w:numPr>
          <w:ilvl w:val="0"/>
          <w:numId w:val="2"/>
        </w:numPr>
        <w:spacing w:after="90" w:line="276"/>
      </w:pPr>
      <w:r>
        <w:t xml:space="preserve">Une réserve d'au moins 20 % de participants supplémentaires par ligne est maintenue à la réception.</w:t>
      </w:r>
    </w:p>
    <w:p>
      <w:pPr>
        <w:pStyle w:val="ListParagraph"/>
        <w:numPr>
          <w:ilvl w:val="0"/>
          <w:numId w:val="2"/>
        </w:numPr>
        <w:spacing w:after="90" w:line="276"/>
      </w:pPr>
      <w:r>
        <w:t xml:space="preserve">Le bus chemine dans des conduits propres ou dans un compartiment séparé des conducteurs de puissance. Tout croisement avec les circuits de puissance se fait à angle droit.</w:t>
      </w:r>
    </w:p>
    <w:p>
      <w:pPr>
        <w:pStyle w:val="ListParagraph"/>
        <w:numPr>
          <w:ilvl w:val="0"/>
          <w:numId w:val="2"/>
        </w:numPr>
        <w:spacing w:after="90" w:line="276"/>
      </w:pPr>
      <w:r>
        <w:t xml:space="preserve">La structure en étoile depuis les tableaux est privilégiée. Le bouclage du bus est interdit.</w:t>
      </w:r>
    </w:p>
    <w:p>
      <w:pPr>
        <w:pStyle w:val="Heading2"/>
        <w:spacing w:after="140" w:before="240"/>
      </w:pPr>
      <w:r>
        <w:t xml:space="preserve">4.4 Alimentations</w:t>
      </w:r>
    </w:p>
    <w:p>
      <w:pPr>
        <w:spacing w:after="160" w:line="276"/>
      </w:pPr>
      <w:r>
        <w:t xml:space="preserve">Chaque ligne dispose de son alimentation bus certifiée KNX, munie de sa self intégrée. Les alimentations sont dimensionnées avec une réserve de courant d'au moins 20 %.</w:t>
      </w:r>
    </w:p>
    <w:p>
      <w:pPr>
        <w:spacing w:after="160" w:line="276"/>
      </w:pPr>
      <w:r>
        <w:t xml:space="preserve">L'alimentation du bus est indépendante de celle des équipements terminaux.</w:t>
      </w:r>
    </w:p>
    <w:p>
      <w:pPr>
        <w:pStyle w:val="Heading2"/>
        <w:spacing w:after="140" w:before="240"/>
      </w:pPr>
      <w:r>
        <w:t xml:space="preserve">4.5 Tableaux et modules</w:t>
      </w:r>
    </w:p>
    <w:p>
      <w:pPr>
        <w:pStyle w:val="ListParagraph"/>
        <w:numPr>
          <w:ilvl w:val="0"/>
          <w:numId w:val="2"/>
        </w:numPr>
        <w:spacing w:after="90" w:line="276"/>
      </w:pPr>
      <w:r>
        <w:t xml:space="preserve">Les modules KNX sont installés sur rail DIN dans les tableaux électriques, dans un compartiment identifié.</w:t>
      </w:r>
    </w:p>
    <w:p>
      <w:pPr>
        <w:pStyle w:val="ListParagraph"/>
        <w:numPr>
          <w:ilvl w:val="0"/>
          <w:numId w:val="2"/>
        </w:numPr>
        <w:spacing w:after="90" w:line="276"/>
      </w:pPr>
      <w:r>
        <w:t xml:space="preserve">Le tableau réserve au minimum </w:t>
      </w:r>
      <w:r>
        <w:rPr>
          <w:b/>
          <w:bCs/>
          <w:color w:val="1F4E79"/>
        </w:rPr>
        <w:t xml:space="preserve">[30]</w:t>
      </w:r>
      <w:r>
        <w:t xml:space="preserve"> % d'emplacements libres après achèvement, pour les évolutions ultérieures.</w:t>
      </w:r>
    </w:p>
    <w:p>
      <w:pPr>
        <w:pStyle w:val="ListParagraph"/>
        <w:numPr>
          <w:ilvl w:val="0"/>
          <w:numId w:val="2"/>
        </w:numPr>
        <w:spacing w:after="90" w:line="276"/>
      </w:pPr>
      <w:r>
        <w:t xml:space="preserve">Chaque module porte une étiquette pérenne indiquant sa fonction et son adresse physique.</w:t>
      </w:r>
    </w:p>
    <w:p>
      <w:pPr>
        <w:pStyle w:val="ListParagraph"/>
        <w:numPr>
          <w:ilvl w:val="0"/>
          <w:numId w:val="2"/>
        </w:numPr>
        <w:spacing w:after="90" w:line="276"/>
      </w:pPr>
      <w:r>
        <w:t xml:space="preserve">Le câblage est peigné, repéré aux deux extrémités et raccordé sur bornier.</w:t>
      </w:r>
    </w:p>
    <w:p>
      <w:pPr>
        <w:pStyle w:val="Heading2"/>
        <w:spacing w:after="140" w:before="240"/>
      </w:pPr>
      <w:r>
        <w:t xml:space="preserve">4.6 Interopérabilité</w:t>
      </w:r>
    </w:p>
    <w:p>
      <w:pPr>
        <w:spacing w:after="160" w:line="276"/>
      </w:pPr>
      <w:r>
        <w:t xml:space="preserve">Tous les participants sont certifiés KNX et disposent d'une base de données produit importable dans ETS.</w:t>
      </w:r>
    </w:p>
    <w:p>
      <w:pPr>
        <w:spacing w:after="160" w:line="276"/>
      </w:pPr>
      <w:r>
        <w:t xml:space="preserve">Aucun équipement propriétaire ne peut porter une fonction de base. Les passerelles vers d'autres protocoles — DALI, Modbus, BACnet, protocoles constructeurs de climatisation — sont admises pour raccorder des équipements terminaux, à condition que la logique de commande demeure sur le bus KNX.</w:t>
      </w:r>
    </w:p>
    <w:p>
      <w:pPr>
        <w:spacing w:after="160" w:line="276"/>
      </w:pPr>
      <w:r>
        <w:t xml:space="preserve">Le maître d'ouvrage doit pouvoir remplacer tout participant par un équipement équivalent d'un autre fabricant certifié, sans reprise du câblage ni de l'architecture de programmation.</w:t>
      </w:r>
    </w:p>
    <w:p>
      <w:pPr>
        <w:pStyle w:val="Heading2"/>
        <w:spacing w:after="140" w:before="240"/>
      </w:pPr>
      <w:r>
        <w:t xml:space="preserve">4.7 Sécurité et accès distant</w:t>
      </w:r>
    </w:p>
    <w:p>
      <w:pPr>
        <w:spacing w:after="160" w:line="276"/>
      </w:pPr>
      <w:r>
        <w:t xml:space="preserve">L'accès distant, s'il est prévu, se fait par liaison chiffrée. Aucun port n'est ouvert directement sur Internet vers un participant du bus.</w:t>
      </w:r>
    </w:p>
    <w:p>
      <w:pPr>
        <w:spacing w:after="160" w:line="276"/>
      </w:pPr>
      <w:r>
        <w:t xml:space="preserve">Lorsque le programme le justifie, les fonctions sensibles emploient KNX Secure. Les clés et mots de passe sont remis au maître d'ouvrage dans les conditions de l'article 8.</w:t>
      </w:r>
    </w:p>
    <w:p>
      <w:pPr>
        <w:spacing w:after="160" w:line="276"/>
      </w:pPr>
      <w:r>
        <w:t xml:space="preserve">Le fonctionnement du bâtiment ne dépend d'aucun compte utilisateur hébergé chez un tiers, ni d'aucun abonnement.</w:t>
      </w:r>
    </w:p>
    <w:p>
      <w:pPr>
        <w:pStyle w:val="Heading1"/>
        <w:spacing w:after="200" w:before="360"/>
      </w:pPr>
      <w:r>
        <w:t xml:space="preserve">Article 5 — Prescriptions par fonction</w:t>
      </w:r>
    </w:p>
    <w:p>
      <w:pPr>
        <w:spacing w:after="160" w:line="276"/>
      </w:pPr>
      <w:r>
        <w:rPr>
          <w:i/>
          <w:iCs/>
          <w:color w:val="595959"/>
        </w:rPr>
        <w:t xml:space="preserve">Les fonctions retenues pour l'opération sont précisées ci-après. Les quantités figurent au tableau de repérage joint en annexe A.</w:t>
      </w:r>
    </w:p>
    <w:p>
      <w:pPr>
        <w:pStyle w:val="Heading2"/>
        <w:spacing w:after="140" w:before="240"/>
      </w:pPr>
      <w:r>
        <w:t xml:space="preserve">5.1 Éclairage</w:t>
      </w:r>
    </w:p>
    <w:p>
      <w:pPr>
        <w:pStyle w:val="ListParagraph"/>
        <w:numPr>
          <w:ilvl w:val="0"/>
          <w:numId w:val="2"/>
        </w:numPr>
        <w:spacing w:after="90" w:line="276"/>
      </w:pPr>
      <w:r>
        <w:t xml:space="preserve">Commande tout-ou-rien par actionneurs de commutation, avec retour d'état sur le bus.</w:t>
      </w:r>
    </w:p>
    <w:p>
      <w:pPr>
        <w:pStyle w:val="ListParagraph"/>
        <w:numPr>
          <w:ilvl w:val="0"/>
          <w:numId w:val="2"/>
        </w:numPr>
        <w:spacing w:after="90" w:line="276"/>
      </w:pPr>
      <w:r>
        <w:t xml:space="preserve">Gradation par passerelle DALI-2 conforme à l'IEC 62386, ou par variateurs universels selon la nature des charges. Le choix est justifié par type de luminaire au mémoire technique.</w:t>
      </w:r>
    </w:p>
    <w:p>
      <w:pPr>
        <w:pStyle w:val="ListParagraph"/>
        <w:numPr>
          <w:ilvl w:val="0"/>
          <w:numId w:val="2"/>
        </w:numPr>
        <w:spacing w:after="90" w:line="276"/>
      </w:pPr>
      <w:r>
        <w:t xml:space="preserve">Détection de présence et régulation sur la lumière du jour dans les locaux désignés en annexe A.</w:t>
      </w:r>
    </w:p>
    <w:p>
      <w:pPr>
        <w:pStyle w:val="ListParagraph"/>
        <w:numPr>
          <w:ilvl w:val="0"/>
          <w:numId w:val="2"/>
        </w:numPr>
        <w:spacing w:after="90" w:line="276"/>
      </w:pPr>
      <w:r>
        <w:t xml:space="preserve">Scènes d'ambiance rappelables depuis les commandes murales, modifiables par l'exploitant sans intervention de l'entreprise.</w:t>
      </w:r>
    </w:p>
    <w:p>
      <w:pPr>
        <w:pStyle w:val="ListParagraph"/>
        <w:numPr>
          <w:ilvl w:val="0"/>
          <w:numId w:val="2"/>
        </w:numPr>
        <w:spacing w:after="90" w:line="276"/>
      </w:pPr>
      <w:r>
        <w:t xml:space="preserve">Extinction générale par zone, et temporisation des circulations.</w:t>
      </w:r>
    </w:p>
    <w:p>
      <w:pPr>
        <w:pStyle w:val="Heading2"/>
        <w:spacing w:after="140" w:before="240"/>
      </w:pPr>
      <w:r>
        <w:t xml:space="preserve">5.2 Occultations et protections solaires</w:t>
      </w:r>
    </w:p>
    <w:p>
      <w:pPr>
        <w:pStyle w:val="ListParagraph"/>
        <w:numPr>
          <w:ilvl w:val="0"/>
          <w:numId w:val="2"/>
        </w:numPr>
        <w:spacing w:after="90" w:line="276"/>
      </w:pPr>
      <w:r>
        <w:t xml:space="preserve">Commande individuelle et par groupe : montée, descente et positionnement d'inclinaison le cas échéant.</w:t>
      </w:r>
    </w:p>
    <w:p>
      <w:pPr>
        <w:pStyle w:val="ListParagraph"/>
        <w:numPr>
          <w:ilvl w:val="0"/>
          <w:numId w:val="2"/>
        </w:numPr>
        <w:spacing w:after="90" w:line="276"/>
      </w:pPr>
      <w:r>
        <w:t xml:space="preserve">Asservissement à la course du soleil pour les façades désignées, avec seuils réglables par l'exploitant.</w:t>
      </w:r>
    </w:p>
    <w:p>
      <w:pPr>
        <w:pStyle w:val="ListParagraph"/>
        <w:numPr>
          <w:ilvl w:val="0"/>
          <w:numId w:val="2"/>
        </w:numPr>
        <w:spacing w:after="90" w:line="276"/>
      </w:pPr>
      <w:r>
        <w:t xml:space="preserve">Sécurité vent et pluie prioritaire sur toute autre commande, y compris manuelle.</w:t>
      </w:r>
    </w:p>
    <w:p>
      <w:pPr>
        <w:pStyle w:val="ListParagraph"/>
        <w:numPr>
          <w:ilvl w:val="0"/>
          <w:numId w:val="2"/>
        </w:numPr>
        <w:spacing w:after="90" w:line="276"/>
      </w:pPr>
      <w:r>
        <w:t xml:space="preserve">Position de repli définie en cas de perte d'alimentation, précisée au mémoire technique.</w:t>
      </w:r>
    </w:p>
    <w:p>
      <w:pPr>
        <w:pStyle w:val="Heading2"/>
        <w:spacing w:after="140" w:before="240"/>
      </w:pPr>
      <w:r>
        <w:t xml:space="preserve">5.3 Chauffage, ventilation et climatisation</w:t>
      </w:r>
    </w:p>
    <w:p>
      <w:pPr>
        <w:pStyle w:val="ListParagraph"/>
        <w:numPr>
          <w:ilvl w:val="0"/>
          <w:numId w:val="2"/>
        </w:numPr>
        <w:spacing w:after="90" w:line="276"/>
      </w:pPr>
      <w:r>
        <w:t xml:space="preserve">Régulation de température par zone, avec consigne locale et consigne centrale.</w:t>
      </w:r>
    </w:p>
    <w:p>
      <w:pPr>
        <w:pStyle w:val="ListParagraph"/>
        <w:numPr>
          <w:ilvl w:val="0"/>
          <w:numId w:val="2"/>
        </w:numPr>
        <w:spacing w:after="90" w:line="276"/>
      </w:pPr>
      <w:r>
        <w:t xml:space="preserve">Asservissement au contact d'ouverture des menuiseries : arrêt ou repli de la consigne à l'ouverture.</w:t>
      </w:r>
    </w:p>
    <w:p>
      <w:pPr>
        <w:pStyle w:val="ListParagraph"/>
        <w:numPr>
          <w:ilvl w:val="0"/>
          <w:numId w:val="2"/>
        </w:numPr>
        <w:spacing w:after="90" w:line="276"/>
      </w:pPr>
      <w:r>
        <w:t xml:space="preserve">Repli automatique en cas d'inoccupation prolongée, sur détection de présence ou sur programme horaire.</w:t>
      </w:r>
    </w:p>
    <w:p>
      <w:pPr>
        <w:pStyle w:val="ListParagraph"/>
        <w:numPr>
          <w:ilvl w:val="0"/>
          <w:numId w:val="2"/>
        </w:numPr>
        <w:spacing w:after="90" w:line="276"/>
      </w:pPr>
      <w:r>
        <w:t xml:space="preserve">Raccordement des unités par la passerelle du protocole constructeur, la logique de régulation restant portée par le bus KNX.</w:t>
      </w:r>
    </w:p>
    <w:p>
      <w:pPr>
        <w:pStyle w:val="ListParagraph"/>
        <w:numPr>
          <w:ilvl w:val="0"/>
          <w:numId w:val="2"/>
        </w:numPr>
        <w:spacing w:after="90" w:line="276"/>
      </w:pPr>
      <w:r>
        <w:t xml:space="preserve">Programmes horaires et calendrier modifiables par l'exploitant.</w:t>
      </w:r>
    </w:p>
    <w:p>
      <w:pPr>
        <w:pStyle w:val="Heading2"/>
        <w:spacing w:after="140" w:before="240"/>
      </w:pPr>
      <w:r>
        <w:t xml:space="preserve">5.4 Sécurité et contrôle d'accès</w:t>
      </w:r>
    </w:p>
    <w:p>
      <w:pPr>
        <w:pStyle w:val="ListParagraph"/>
        <w:numPr>
          <w:ilvl w:val="0"/>
          <w:numId w:val="2"/>
        </w:numPr>
        <w:spacing w:after="90" w:line="276"/>
      </w:pPr>
      <w:r>
        <w:t xml:space="preserve">Report d'état des organes de sécurité sur le bus, sans que la fonction de sécurité elle-même en dépende.</w:t>
      </w:r>
    </w:p>
    <w:p>
      <w:pPr>
        <w:pStyle w:val="ListParagraph"/>
        <w:numPr>
          <w:ilvl w:val="0"/>
          <w:numId w:val="2"/>
        </w:numPr>
        <w:spacing w:after="90" w:line="276"/>
      </w:pPr>
      <w:r>
        <w:t xml:space="preserve">Simulation de présence sur programme aléatoire.</w:t>
      </w:r>
    </w:p>
    <w:p>
      <w:pPr>
        <w:pStyle w:val="ListParagraph"/>
        <w:numPr>
          <w:ilvl w:val="0"/>
          <w:numId w:val="2"/>
        </w:numPr>
        <w:spacing w:after="90" w:line="276"/>
      </w:pPr>
      <w:r>
        <w:t xml:space="preserve">Scénario de mise en sécurité générale à la fermeture du bâtiment.</w:t>
      </w:r>
    </w:p>
    <w:p>
      <w:pPr>
        <w:pStyle w:val="ListParagraph"/>
        <w:numPr>
          <w:ilvl w:val="0"/>
          <w:numId w:val="2"/>
        </w:numPr>
        <w:spacing w:after="90" w:line="276"/>
      </w:pPr>
      <w:r>
        <w:t xml:space="preserve">Les systèmes réglementés de détection d'intrusion et d'incendie conservent leur autonomie propre.</w:t>
      </w:r>
    </w:p>
    <w:p>
      <w:pPr>
        <w:pStyle w:val="Heading2"/>
        <w:spacing w:after="140" w:before="240"/>
      </w:pPr>
      <w:r>
        <w:t xml:space="preserve">5.5 Comptage et supervision</w:t>
      </w:r>
    </w:p>
    <w:p>
      <w:pPr>
        <w:pStyle w:val="ListParagraph"/>
        <w:numPr>
          <w:ilvl w:val="0"/>
          <w:numId w:val="2"/>
        </w:numPr>
        <w:spacing w:after="90" w:line="276"/>
      </w:pPr>
      <w:r>
        <w:t xml:space="preserve">Comptage des consommations électriques par circuit ou par zone, selon l'annexe A.</w:t>
      </w:r>
    </w:p>
    <w:p>
      <w:pPr>
        <w:pStyle w:val="ListParagraph"/>
        <w:numPr>
          <w:ilvl w:val="0"/>
          <w:numId w:val="2"/>
        </w:numPr>
        <w:spacing w:after="90" w:line="276"/>
      </w:pPr>
      <w:r>
        <w:t xml:space="preserve">Historisation locale des mesures, exportable sans outil propriétaire.</w:t>
      </w:r>
    </w:p>
    <w:p>
      <w:pPr>
        <w:pStyle w:val="ListParagraph"/>
        <w:numPr>
          <w:ilvl w:val="0"/>
          <w:numId w:val="2"/>
        </w:numPr>
        <w:spacing w:after="90" w:line="276"/>
      </w:pPr>
      <w:r>
        <w:t xml:space="preserve">Supervision sur écran mural ou application, l'accès aux fonctions restant possible depuis les commandes murales en toute circonstance.</w:t>
      </w:r>
    </w:p>
    <w:p>
      <w:pPr>
        <w:pStyle w:val="Heading1"/>
        <w:spacing w:after="200" w:before="360"/>
      </w:pPr>
      <w:r>
        <w:t xml:space="preserve">Article 6 — Programmation</w:t>
      </w:r>
    </w:p>
    <w:p>
      <w:pPr>
        <w:pStyle w:val="Heading2"/>
        <w:spacing w:after="140" w:before="240"/>
      </w:pPr>
      <w:r>
        <w:t xml:space="preserve">6.1 Outil de paramétrage</w:t>
      </w:r>
    </w:p>
    <w:p>
      <w:pPr>
        <w:spacing w:after="160" w:line="276"/>
      </w:pPr>
      <w:r>
        <w:t xml:space="preserve">La programmation est réalisée exclusivement sous ETS, dans une version dont la licence est détenue par l'entreprise. Le recours à un outil de configuration propriétaire pour tout ou partie du paramétrage est exclu.</w:t>
      </w:r>
    </w:p>
    <w:p>
      <w:pPr>
        <w:pStyle w:val="Heading2"/>
        <w:spacing w:after="140" w:before="240"/>
      </w:pPr>
      <w:r>
        <w:t xml:space="preserve">6.2 Structure du projet</w:t>
      </w:r>
    </w:p>
    <w:p>
      <w:pPr>
        <w:pStyle w:val="ListParagraph"/>
        <w:numPr>
          <w:ilvl w:val="0"/>
          <w:numId w:val="2"/>
        </w:numPr>
        <w:spacing w:after="90" w:line="276"/>
      </w:pPr>
      <w:r>
        <w:t xml:space="preserve">L'arborescence des bâtiments reflète la réalité physique : bâtiment, niveau, local, tableau.</w:t>
      </w:r>
    </w:p>
    <w:p>
      <w:pPr>
        <w:pStyle w:val="ListParagraph"/>
        <w:numPr>
          <w:ilvl w:val="0"/>
          <w:numId w:val="2"/>
        </w:numPr>
        <w:spacing w:after="90" w:line="276"/>
      </w:pPr>
      <w:r>
        <w:t xml:space="preserve">Les adresses de groupe suivent une structure à trois niveaux, documentée en tête de projet : principal par fonction, intermédiaire par zone, sous-groupe par point.</w:t>
      </w:r>
    </w:p>
    <w:p>
      <w:pPr>
        <w:pStyle w:val="ListParagraph"/>
        <w:numPr>
          <w:ilvl w:val="0"/>
          <w:numId w:val="2"/>
        </w:numPr>
        <w:spacing w:after="90" w:line="276"/>
      </w:pPr>
      <w:r>
        <w:t xml:space="preserve">Chaque participant et chaque objet de groupe porte un nom explicite en français. Les libellés par défaut du fabricant sont proscrits.</w:t>
      </w:r>
    </w:p>
    <w:p>
      <w:pPr>
        <w:pStyle w:val="ListParagraph"/>
        <w:numPr>
          <w:ilvl w:val="0"/>
          <w:numId w:val="2"/>
        </w:numPr>
        <w:spacing w:after="90" w:line="276"/>
      </w:pPr>
      <w:r>
        <w:t xml:space="preserve">Les adresses physiques suivent la topologie réelle et sont reportées sur les plans de récolement.</w:t>
      </w:r>
    </w:p>
    <w:p>
      <w:pPr>
        <w:pStyle w:val="Heading2"/>
        <w:spacing w:after="140" w:before="240"/>
      </w:pPr>
      <w:r>
        <w:t xml:space="preserve">6.3 Paramétrage fonctionnel</w:t>
      </w:r>
    </w:p>
    <w:p>
      <w:pPr>
        <w:spacing w:after="160" w:line="276"/>
      </w:pPr>
      <w:r>
        <w:t xml:space="preserve">Les scènes, temporisations, seuils et programmes horaires sont réglés en présence de l'exploitant lors de la mise en service, puis consignés dans un tableau récapitulatif joint au dossier des ouvrages exécutés.</w:t>
      </w:r>
    </w:p>
    <w:p>
      <w:pPr>
        <w:spacing w:after="160" w:line="276"/>
      </w:pPr>
      <w:r>
        <w:t xml:space="preserve">Les paramètres destinés à évoluer — consignes, horaires, seuils de luminosité — sont accessibles à l'exploitant depuis l'interface de supervision, sans recours à ETS.</w:t>
      </w:r>
    </w:p>
    <w:p>
      <w:pPr>
        <w:pStyle w:val="Heading1"/>
        <w:spacing w:after="200" w:before="360"/>
      </w:pPr>
      <w:r>
        <w:t xml:space="preserve">Article 7 — Essais, mise en service et formation</w:t>
      </w:r>
    </w:p>
    <w:p>
      <w:pPr>
        <w:pStyle w:val="Heading2"/>
        <w:spacing w:after="140" w:before="240"/>
      </w:pPr>
      <w:r>
        <w:t xml:space="preserve">7.1 Essais</w:t>
      </w:r>
    </w:p>
    <w:p>
      <w:pPr>
        <w:pStyle w:val="ListParagraph"/>
        <w:numPr>
          <w:ilvl w:val="0"/>
          <w:numId w:val="2"/>
        </w:numPr>
        <w:spacing w:after="90" w:line="276"/>
      </w:pPr>
      <w:r>
        <w:t xml:space="preserve">Contrôle de la continuité et de la polarité du bus avant mise sous tension.</w:t>
      </w:r>
    </w:p>
    <w:p>
      <w:pPr>
        <w:pStyle w:val="ListParagraph"/>
        <w:numPr>
          <w:ilvl w:val="0"/>
          <w:numId w:val="2"/>
        </w:numPr>
        <w:spacing w:after="90" w:line="276"/>
      </w:pPr>
      <w:r>
        <w:t xml:space="preserve">Vérification de la tension bus en tout point, en charge.</w:t>
      </w:r>
    </w:p>
    <w:p>
      <w:pPr>
        <w:pStyle w:val="ListParagraph"/>
        <w:numPr>
          <w:ilvl w:val="0"/>
          <w:numId w:val="2"/>
        </w:numPr>
        <w:spacing w:after="90" w:line="276"/>
      </w:pPr>
      <w:r>
        <w:t xml:space="preserve">Essai fonctionnel point par point, consigné dans un procès-verbal contradictoire listant chaque commande et son résultat.</w:t>
      </w:r>
    </w:p>
    <w:p>
      <w:pPr>
        <w:pStyle w:val="ListParagraph"/>
        <w:numPr>
          <w:ilvl w:val="0"/>
          <w:numId w:val="2"/>
        </w:numPr>
        <w:spacing w:after="90" w:line="276"/>
      </w:pPr>
      <w:r>
        <w:t xml:space="preserve">Essai des sécurités : vent, pluie, coupure d'alimentation, défaillance simulée d'un module.</w:t>
      </w:r>
    </w:p>
    <w:p>
      <w:pPr>
        <w:pStyle w:val="Heading2"/>
        <w:spacing w:after="140" w:before="240"/>
      </w:pPr>
      <w:r>
        <w:t xml:space="preserve">7.2 Formation de l'exploitant</w:t>
      </w:r>
    </w:p>
    <w:p>
      <w:pPr>
        <w:spacing w:after="160" w:line="276"/>
      </w:pPr>
      <w:r>
        <w:t xml:space="preserve">L'entreprise assure une session de formation d'une durée minimale de </w:t>
      </w:r>
      <w:r>
        <w:rPr>
          <w:b/>
          <w:bCs/>
          <w:color w:val="1F4E79"/>
        </w:rPr>
        <w:t xml:space="preserve">[NOMBRE]</w:t>
      </w:r>
      <w:r>
        <w:t xml:space="preserve"> heures à destination de l'exploitant et du personnel technique désigné, portant sur l'usage courant, la modification des scènes et des programmes horaires, et la conduite à tenir en cas d'anomalie.</w:t>
      </w:r>
    </w:p>
    <w:p>
      <w:pPr>
        <w:spacing w:after="160" w:line="276"/>
      </w:pPr>
      <w:r>
        <w:t xml:space="preserve">Un support de formation en français est remis à l'issue de la session.</w:t>
      </w:r>
    </w:p>
    <w:p>
      <w:pPr>
        <w:pStyle w:val="Heading1"/>
        <w:spacing w:after="200" w:before="360"/>
      </w:pPr>
      <w:r>
        <w:t xml:space="preserve">Article 8 — Documents à remettre et propriété de l'installation</w:t>
      </w:r>
    </w:p>
    <w:p>
      <w:pPr>
        <w:pStyle w:val="Heading2"/>
        <w:spacing w:after="140" w:before="240"/>
      </w:pPr>
      <w:r>
        <w:t xml:space="preserve">8.1 Fichier de programmation</w:t>
      </w:r>
    </w:p>
    <w:p>
      <w:pPr>
        <w:spacing w:after="160" w:line="276"/>
      </w:pPr>
      <w:r>
        <w:t xml:space="preserve">L'entreprise remet au maître d'ouvrage, au plus tard à la réception, le fichier projet ETS complet de l'installation au format .knxproj.</w:t>
      </w:r>
    </w:p>
    <w:p>
      <w:pPr>
        <w:spacing w:after="160" w:line="276"/>
      </w:pPr>
      <w:r>
        <w:t xml:space="preserve">Ce fichier est remis non protégé : sans mot de passe de projet, sans verrouillage de participant, sans restriction d'ouverture ni de modification. Il contient l'intégralité du paramétrage tel que mis en service, y compris les scènes, les programmes horaires et les commentaires.</w:t>
      </w:r>
    </w:p>
    <w:p>
      <w:pPr>
        <w:spacing w:after="160" w:line="276"/>
      </w:pPr>
      <w:r>
        <w:t xml:space="preserve">Lorsque des fonctions emploient KNX Secure, l'entreprise remet également l'ensemble des clés de mise en service permettant la reprise du projet.</w:t>
      </w:r>
    </w:p>
    <w:p>
      <w:pPr>
        <w:pStyle w:val="Heading2"/>
        <w:spacing w:after="140" w:before="240"/>
      </w:pPr>
      <w:r>
        <w:t xml:space="preserve">8.2 Autres documents</w:t>
      </w:r>
    </w:p>
    <w:p>
      <w:pPr>
        <w:pStyle w:val="ListParagraph"/>
        <w:numPr>
          <w:ilvl w:val="0"/>
          <w:numId w:val="2"/>
        </w:numPr>
        <w:spacing w:after="90" w:line="276"/>
      </w:pPr>
      <w:r>
        <w:t xml:space="preserve">Schémas de récolement et carnet de câblage conformes à l'exécution.</w:t>
      </w:r>
    </w:p>
    <w:p>
      <w:pPr>
        <w:pStyle w:val="ListParagraph"/>
        <w:numPr>
          <w:ilvl w:val="0"/>
          <w:numId w:val="2"/>
        </w:numPr>
        <w:spacing w:after="90" w:line="276"/>
      </w:pPr>
      <w:r>
        <w:t xml:space="preserve">Plan d'adressage physique et tableau des adresses de groupe.</w:t>
      </w:r>
    </w:p>
    <w:p>
      <w:pPr>
        <w:pStyle w:val="ListParagraph"/>
        <w:numPr>
          <w:ilvl w:val="0"/>
          <w:numId w:val="2"/>
        </w:numPr>
        <w:spacing w:after="90" w:line="276"/>
      </w:pPr>
      <w:r>
        <w:t xml:space="preserve">Tableau récapitulatif des paramètres réglés à la mise en service.</w:t>
      </w:r>
    </w:p>
    <w:p>
      <w:pPr>
        <w:pStyle w:val="ListParagraph"/>
        <w:numPr>
          <w:ilvl w:val="0"/>
          <w:numId w:val="2"/>
        </w:numPr>
        <w:spacing w:after="90" w:line="276"/>
      </w:pPr>
      <w:r>
        <w:t xml:space="preserve">Notices des équipements installés, en français.</w:t>
      </w:r>
    </w:p>
    <w:p>
      <w:pPr>
        <w:pStyle w:val="ListParagraph"/>
        <w:numPr>
          <w:ilvl w:val="0"/>
          <w:numId w:val="2"/>
        </w:numPr>
        <w:spacing w:after="90" w:line="276"/>
      </w:pPr>
      <w:r>
        <w:t xml:space="preserve">Procès-verbaux d'essais signés.</w:t>
      </w:r>
    </w:p>
    <w:p>
      <w:pPr>
        <w:pStyle w:val="ListParagraph"/>
        <w:numPr>
          <w:ilvl w:val="0"/>
          <w:numId w:val="2"/>
        </w:numPr>
        <w:spacing w:after="90" w:line="276"/>
      </w:pPr>
      <w:r>
        <w:t xml:space="preserve">Attestations de certification visées à l'article 3.</w:t>
      </w:r>
    </w:p>
    <w:p>
      <w:pPr>
        <w:pStyle w:val="Heading2"/>
        <w:spacing w:after="140" w:before="240"/>
      </w:pPr>
      <w:r>
        <w:t xml:space="preserve">8.3 Propriété et liberté de reprise</w:t>
      </w:r>
    </w:p>
    <w:p>
      <w:pPr>
        <w:spacing w:after="160" w:line="276"/>
      </w:pPr>
      <w:r>
        <w:t xml:space="preserve">Le maître d'ouvrage est propriétaire de la programmation de son installation. Il peut la confier à tout intégrateur certifié KNX de son choix, au Maroc ou à l'étranger, pour maintenance, modification ou extension, sans autorisation ni indemnité.</w:t>
      </w:r>
    </w:p>
    <w:p>
      <w:pPr>
        <w:spacing w:after="160" w:line="276"/>
      </w:pPr>
      <w:r>
        <w:t xml:space="preserve">La rétention du fichier de programmation, sa remise sous forme protégée, ou toute clause subordonnant sa remise à la poursuite d'un contrat de maintenance, constituent un manquement aux obligations du présent lot et font obstacle au prononcé de la réception.</w:t>
      </w:r>
    </w:p>
    <w:p>
      <w:pPr>
        <w:spacing w:after="160" w:line="276"/>
      </w:pPr>
      <w:r>
        <w:t xml:space="preserve">Cette clause est essentielle. Elle est la contrepartie du choix d'une norme ouverte : sans elle, l'installation redevient dépendante d'un prestataire unique, et l'avantage principal de la solution retenue disparaît.</w:t>
      </w:r>
    </w:p>
    <w:p>
      <w:pPr>
        <w:pStyle w:val="Heading1"/>
        <w:spacing w:after="200" w:before="360"/>
      </w:pPr>
      <w:r>
        <w:t xml:space="preserve">Article 9 — Garanties et maintenance</w:t>
      </w:r>
    </w:p>
    <w:p>
      <w:pPr>
        <w:pStyle w:val="Heading2"/>
        <w:spacing w:after="140" w:before="240"/>
      </w:pPr>
      <w:r>
        <w:t xml:space="preserve">9.1 Garanties</w:t>
      </w:r>
    </w:p>
    <w:p>
      <w:pPr>
        <w:spacing w:after="160" w:line="276"/>
      </w:pPr>
      <w:r>
        <w:t xml:space="preserve">La garantie de parfait achèvement couvre l'ensemble de la prestation, matériel et programmation, pour une durée de </w:t>
      </w:r>
      <w:r>
        <w:rPr>
          <w:b/>
          <w:bCs/>
          <w:color w:val="1F4E79"/>
        </w:rPr>
        <w:t xml:space="preserve">[12]</w:t>
      </w:r>
      <w:r>
        <w:t xml:space="preserve"> mois à compter de la réception.</w:t>
      </w:r>
    </w:p>
    <w:p>
      <w:pPr>
        <w:spacing w:after="160" w:line="276"/>
      </w:pPr>
      <w:r>
        <w:t xml:space="preserve">L'entreprise garantit la disponibilité des pièces de rechange ou d'équipements compatibles pendant </w:t>
      </w:r>
      <w:r>
        <w:rPr>
          <w:b/>
          <w:bCs/>
          <w:color w:val="1F4E79"/>
        </w:rPr>
        <w:t xml:space="preserve">[NOMBRE]</w:t>
      </w:r>
      <w:r>
        <w:t xml:space="preserve"> ans. La compatibilité s'entend au sens de la norme : tout participant certifié KNX de fonction équivalente satisfait à cette obligation.</w:t>
      </w:r>
    </w:p>
    <w:p>
      <w:pPr>
        <w:pStyle w:val="Heading2"/>
        <w:spacing w:after="140" w:before="240"/>
      </w:pPr>
      <w:r>
        <w:t xml:space="preserve">9.2 Maintenance</w:t>
      </w:r>
    </w:p>
    <w:p>
      <w:pPr>
        <w:spacing w:after="160" w:line="276"/>
      </w:pPr>
      <w:r>
        <w:t xml:space="preserve">Un contrat de maintenance peut être proposé en option chiffrée séparément. Il ne conditionne en aucun cas la remise des documents visés à l'article 8, ni l'exercice des droits reconnus au maître d'ouvrage par l'article 8.3.</w:t>
      </w:r>
    </w:p>
    <w:p>
      <w:r>
        <w:br w:type="page"/>
      </w:r>
    </w:p>
    <w:p>
      <w:pPr>
        <w:pStyle w:val="Heading1"/>
        <w:spacing w:after="200"/>
      </w:pPr>
      <w:r>
        <w:t xml:space="preserve">Annexe A — Tableau de repérage des points</w:t>
      </w:r>
    </w:p>
    <w:p>
      <w:pPr>
        <w:spacing w:after="160" w:line="276"/>
      </w:pPr>
      <w:r>
        <w:rPr>
          <w:i/>
          <w:iCs/>
          <w:color w:val="595959"/>
        </w:rPr>
        <w:t xml:space="preserve">À renseigner local par local. Ce tableau constitue la base du comptage des points et du dimensionnement des actionneurs.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100"/>
        <w:gridCol w:w="1200"/>
        <w:gridCol w:w="950"/>
        <w:gridCol w:w="850"/>
        <w:gridCol w:w="1150"/>
        <w:gridCol w:w="1460"/>
      </w:tblGrid>
      <w:tr>
        <w:trPr>
          <w:tblHeader/>
        </w:trPr>
        <w:tc>
          <w:tcPr>
            <w:tcW w:type="dxa" w:w="900"/>
            <w:shd w:fill="EDF2F7" w:color="auto" w:val="clear"/>
            <w:tcMar>
              <w:top w:type="dxa" w:w="90"/>
              <w:left w:type="dxa" w:w="120"/>
              <w:bottom w:type="dxa" w:w="90"/>
              <w:right w:type="dxa" w:w="120"/>
            </w:tcMar>
          </w:tcPr>
          <w:p>
            <w:pPr>
              <w:spacing w:after="0"/>
            </w:pPr>
            <w:r>
              <w:rPr>
                <w:b/>
                <w:bCs/>
                <w:color w:val="1F4E79"/>
                <w:sz w:val="19"/>
                <w:szCs w:val="19"/>
              </w:rPr>
              <w:t xml:space="preserve">Niveau</w:t>
            </w:r>
          </w:p>
        </w:tc>
        <w:tc>
          <w:tcPr>
            <w:tcW w:type="dxa" w:w="1750"/>
            <w:shd w:fill="EDF2F7" w:color="auto" w:val="clear"/>
            <w:tcMar>
              <w:top w:type="dxa" w:w="90"/>
              <w:left w:type="dxa" w:w="120"/>
              <w:bottom w:type="dxa" w:w="90"/>
              <w:right w:type="dxa" w:w="120"/>
            </w:tcMar>
          </w:tcPr>
          <w:p>
            <w:pPr>
              <w:spacing w:after="0"/>
            </w:pPr>
            <w:r>
              <w:rPr>
                <w:b/>
                <w:bCs/>
                <w:color w:val="1F4E79"/>
                <w:sz w:val="19"/>
                <w:szCs w:val="19"/>
              </w:rPr>
              <w:t xml:space="preserve">Local</w:t>
            </w:r>
          </w:p>
        </w:tc>
        <w:tc>
          <w:tcPr>
            <w:tcW w:type="dxa" w:w="1100"/>
            <w:shd w:fill="EDF2F7" w:color="auto" w:val="clear"/>
            <w:tcMar>
              <w:top w:type="dxa" w:w="90"/>
              <w:left w:type="dxa" w:w="120"/>
              <w:bottom w:type="dxa" w:w="90"/>
              <w:right w:type="dxa" w:w="120"/>
            </w:tcMar>
          </w:tcPr>
          <w:p>
            <w:pPr>
              <w:spacing w:after="0"/>
            </w:pPr>
            <w:r>
              <w:rPr>
                <w:b/>
                <w:bCs/>
                <w:color w:val="1F4E79"/>
                <w:sz w:val="19"/>
                <w:szCs w:val="19"/>
              </w:rPr>
              <w:t xml:space="preserve">Écl. TOR</w:t>
            </w:r>
          </w:p>
        </w:tc>
        <w:tc>
          <w:tcPr>
            <w:tcW w:type="dxa" w:w="1200"/>
            <w:shd w:fill="EDF2F7" w:color="auto" w:val="clear"/>
            <w:tcMar>
              <w:top w:type="dxa" w:w="90"/>
              <w:left w:type="dxa" w:w="120"/>
              <w:bottom w:type="dxa" w:w="90"/>
              <w:right w:type="dxa" w:w="120"/>
            </w:tcMar>
          </w:tcPr>
          <w:p>
            <w:pPr>
              <w:spacing w:after="0"/>
            </w:pPr>
            <w:r>
              <w:rPr>
                <w:b/>
                <w:bCs/>
                <w:color w:val="1F4E79"/>
                <w:sz w:val="19"/>
                <w:szCs w:val="19"/>
              </w:rPr>
              <w:t xml:space="preserve">Écl. gradé</w:t>
            </w:r>
          </w:p>
        </w:tc>
        <w:tc>
          <w:tcPr>
            <w:tcW w:type="dxa" w:w="950"/>
            <w:shd w:fill="EDF2F7" w:color="auto" w:val="clear"/>
            <w:tcMar>
              <w:top w:type="dxa" w:w="90"/>
              <w:left w:type="dxa" w:w="120"/>
              <w:bottom w:type="dxa" w:w="90"/>
              <w:right w:type="dxa" w:w="120"/>
            </w:tcMar>
          </w:tcPr>
          <w:p>
            <w:pPr>
              <w:spacing w:after="0"/>
            </w:pPr>
            <w:r>
              <w:rPr>
                <w:b/>
                <w:bCs/>
                <w:color w:val="1F4E79"/>
                <w:sz w:val="19"/>
                <w:szCs w:val="19"/>
              </w:rPr>
              <w:t xml:space="preserve">Stores</w:t>
            </w:r>
          </w:p>
        </w:tc>
        <w:tc>
          <w:tcPr>
            <w:tcW w:type="dxa" w:w="850"/>
            <w:shd w:fill="EDF2F7" w:color="auto" w:val="clear"/>
            <w:tcMar>
              <w:top w:type="dxa" w:w="90"/>
              <w:left w:type="dxa" w:w="120"/>
              <w:bottom w:type="dxa" w:w="90"/>
              <w:right w:type="dxa" w:w="120"/>
            </w:tcMar>
          </w:tcPr>
          <w:p>
            <w:pPr>
              <w:spacing w:after="0"/>
            </w:pPr>
            <w:r>
              <w:rPr>
                <w:b/>
                <w:bCs/>
                <w:color w:val="1F4E79"/>
                <w:sz w:val="19"/>
                <w:szCs w:val="19"/>
              </w:rPr>
              <w:t xml:space="preserve">Clim.</w:t>
            </w:r>
          </w:p>
        </w:tc>
        <w:tc>
          <w:tcPr>
            <w:tcW w:type="dxa" w:w="1150"/>
            <w:shd w:fill="EDF2F7" w:color="auto" w:val="clear"/>
            <w:tcMar>
              <w:top w:type="dxa" w:w="90"/>
              <w:left w:type="dxa" w:w="120"/>
              <w:bottom w:type="dxa" w:w="90"/>
              <w:right w:type="dxa" w:w="120"/>
            </w:tcMar>
          </w:tcPr>
          <w:p>
            <w:pPr>
              <w:spacing w:after="0"/>
            </w:pPr>
            <w:r>
              <w:rPr>
                <w:b/>
                <w:bCs/>
                <w:color w:val="1F4E79"/>
                <w:sz w:val="19"/>
                <w:szCs w:val="19"/>
              </w:rPr>
              <w:t xml:space="preserve">Présence</w:t>
            </w:r>
          </w:p>
        </w:tc>
        <w:tc>
          <w:tcPr>
            <w:tcW w:type="dxa" w:w="1460"/>
            <w:shd w:fill="EDF2F7" w:color="auto" w:val="clear"/>
            <w:tcMar>
              <w:top w:type="dxa" w:w="90"/>
              <w:left w:type="dxa" w:w="120"/>
              <w:bottom w:type="dxa" w:w="90"/>
              <w:right w:type="dxa" w:w="120"/>
            </w:tcMar>
          </w:tcPr>
          <w:p>
            <w:pPr>
              <w:spacing w:after="0"/>
            </w:pPr>
            <w:r>
              <w:rPr>
                <w:b/>
                <w:bCs/>
                <w:color w:val="1F4E79"/>
                <w:sz w:val="19"/>
                <w:szCs w:val="19"/>
              </w:rPr>
              <w:t xml:space="preserve">Compt.</w:t>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9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7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20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9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8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15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c>
          <w:tcPr>
            <w:tcW w:type="dxa" w:w="14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bl>
    <w:p>
      <w:r>
        <w:br w:type="page"/>
      </w:r>
    </w:p>
    <w:p>
      <w:pPr>
        <w:pStyle w:val="Heading1"/>
        <w:spacing w:after="200"/>
      </w:pPr>
      <w:r>
        <w:t xml:space="preserve">Annexe B — Cadre de décomposition du prix</w:t>
      </w:r>
    </w:p>
    <w:p>
      <w:pPr>
        <w:spacing w:after="160" w:line="276"/>
      </w:pPr>
      <w:r>
        <w:rPr>
          <w:i/>
          <w:iCs/>
          <w:color w:val="595959"/>
        </w:rPr>
        <w:t xml:space="preserve">L'offre est décomposée selon les postes suivants. Cette décomposition permet de comparer les offres et d'arbitrer sur le niveau de finition sans remettre en cause l'infrastructure.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shd w:fill="EDF2F7" w:color="auto" w:val="clear"/>
            <w:tcMar>
              <w:top w:type="dxa" w:w="90"/>
              <w:left w:type="dxa" w:w="120"/>
              <w:bottom w:type="dxa" w:w="90"/>
              <w:right w:type="dxa" w:w="120"/>
            </w:tcMar>
          </w:tcPr>
          <w:p>
            <w:pPr>
              <w:spacing w:after="0"/>
            </w:pPr>
            <w:r>
              <w:rPr>
                <w:b/>
                <w:bCs/>
                <w:color w:val="1F4E79"/>
                <w:sz w:val="19"/>
                <w:szCs w:val="19"/>
              </w:rPr>
              <w:t xml:space="preserve">Poste</w:t>
            </w:r>
          </w:p>
        </w:tc>
        <w:tc>
          <w:tcPr>
            <w:tcW w:type="dxa" w:w="2760"/>
            <w:shd w:fill="EDF2F7" w:color="auto" w:val="clear"/>
            <w:tcMar>
              <w:top w:type="dxa" w:w="90"/>
              <w:left w:type="dxa" w:w="120"/>
              <w:bottom w:type="dxa" w:w="90"/>
              <w:right w:type="dxa" w:w="120"/>
            </w:tcMar>
          </w:tcPr>
          <w:p>
            <w:pPr>
              <w:spacing w:after="0"/>
            </w:pPr>
            <w:r>
              <w:rPr>
                <w:b/>
                <w:bCs/>
                <w:color w:val="1F4E79"/>
                <w:sz w:val="19"/>
                <w:szCs w:val="19"/>
              </w:rPr>
              <w:t xml:space="preserve">Montant HT</w:t>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Étude d'exécution et schémas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Câble bus et cheminements propres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Alimentations et modules sur rail DIN</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Appareillage de commande et capteurs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Passerelles et interfaces</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Programmation ETS et paramétrage</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Essais, mise en service et formation</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r>
        <w:tc>
          <w:tcPr>
            <w:tcW w:type="dxa" w:w="6600"/>
            <w:shd w:fill="FFFFFF" w:color="auto" w:val="clear"/>
            <w:tcMar>
              <w:top w:type="dxa" w:w="90"/>
              <w:left w:type="dxa" w:w="120"/>
              <w:bottom w:type="dxa" w:w="90"/>
              <w:right w:type="dxa" w:w="120"/>
            </w:tcMar>
          </w:tcPr>
          <w:p>
            <w:pPr>
              <w:spacing w:after="0"/>
            </w:pPr>
            <w:r>
              <w:rPr>
                <w:b w:val="false"/>
                <w:bCs w:val="false"/>
                <w:color w:val="000000"/>
                <w:sz w:val="19"/>
                <w:szCs w:val="19"/>
              </w:rPr>
              <w:t xml:space="preserve">TOTAL HT</w:t>
            </w:r>
          </w:p>
        </w:tc>
        <w:tc>
          <w:tcPr>
            <w:tcW w:type="dxa" w:w="2760"/>
            <w:shd w:fill="FFFFFF" w:color="auto" w:val="clear"/>
            <w:tcMar>
              <w:top w:type="dxa" w:w="90"/>
              <w:left w:type="dxa" w:w="120"/>
              <w:bottom w:type="dxa" w:w="90"/>
              <w:right w:type="dxa" w:w="120"/>
            </w:tcMar>
          </w:tcPr>
          <w:p>
            <w:pPr>
              <w:spacing w:after="0"/>
            </w:pPr>
            <w:r>
              <w:rPr>
                <w:b w:val="false"/>
                <w:bCs w:val="false"/>
                <w:color w:val="000000"/>
                <w:sz w:val="19"/>
                <w:szCs w:val="19"/>
              </w:rPr>
              <w:t xml:space="preserve"/>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sur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6"/>
      </w:pBdr>
      <w:jc w:val="right"/>
    </w:pPr>
    <w:r>
      <w:rPr>
        <w:color w:val="595959"/>
        <w:sz w:val="16"/>
        <w:szCs w:val="16"/>
      </w:rPr>
      <w:t xml:space="preserve">CCTP — Lot domotique KNX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9"/>
      <w:sz w:val="28"/>
      <w:szCs w:val="28"/>
    </w:rPr>
  </w:style>
  <w:style w:type="paragraph" w:styleId="Heading2">
    <w:name w:val="Heading 2"/>
    <w:basedOn w:val="Normal"/>
    <w:next w:val="Normal"/>
    <w:qFormat/>
    <w:pPr>
      <w:spacing w:after="140" w:before="240"/>
    </w:pPr>
    <w:rPr>
      <w:rFonts w:ascii="Calibri" w:cs="Calibri" w:eastAsia="Calibri" w:hAnsi="Calibri"/>
      <w:b/>
      <w:bCs/>
      <w:color w:val="2E2E2E"/>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CCTP — Lot domotique KNX</dc:title>
  <dc:creator>KNX MAROC</dc:creator>
  <dc:description>Modèle de cahier des clauses techniques particulières pour un lot KNX</dc:description>
  <cp:lastModifiedBy>Un-named</cp:lastModifiedBy>
  <cp:revision>1</cp:revision>
  <dcterms:created xsi:type="dcterms:W3CDTF">2026-07-28T00:49:48.375Z</dcterms:created>
  <dcterms:modified xsi:type="dcterms:W3CDTF">2026-07-28T00:49:48.376Z</dcterms:modified>
</cp:coreProperties>
</file>

<file path=docProps/custom.xml><?xml version="1.0" encoding="utf-8"?>
<Properties xmlns="http://schemas.openxmlformats.org/officeDocument/2006/custom-properties" xmlns:vt="http://schemas.openxmlformats.org/officeDocument/2006/docPropsVTypes"/>
</file>