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Castellan Precision Instruments, Inc.</w:t>
      </w:r>
    </w:p>
    <w:p>
      <w:pPr>
        <w:spacing w:after="60" w:before="60"/>
      </w:pPr>
      <w:r>
        <w:rPr>
          <w:b/>
          <w:bCs/>
          <w:color w:val="1F3864"/>
          <w:sz w:val="24"/>
          <w:szCs w:val="24"/>
        </w:rPr>
        <w:t xml:space="preserve">Fraud Brainstorming Session — Ad-Hoc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Raw meeting notes, not yet formatted into the memo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Ad-hoc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Possible backdating of Q4 shipping documentation flagged by internal audit follow-up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January 9, 2026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[not recorded — called together quickly, no one captured who joined]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Internal audit's routine follow-up on Q4 cutoff testing flagged that several shipping documents for one distributor (approximately $340,000 of Q4 revenue) show a December 31, 2025 ship date, but the trucking company's dock records suggest the shipment may not have actually left the warehouse until January 2 or 3, 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Not yet substantiated — could be a legitimate documentation timing difference, or could indicate cutoff manipulation to hit Q4 targets.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Team agreed this needs further discussion with the partner before determining whether and how to formally escalate, and that expanded cutoff testing should be performed on this distributor's Q4 shipments.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2026-09-12T15:51:10.539Z</dcterms:created>
  <dcterms:modified xsi:type="dcterms:W3CDTF">2026-09-12T15:51:10.539Z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